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7CB92">
      <w:pPr>
        <w:spacing w:after="312" w:afterLines="100" w:line="240" w:lineRule="atLeast"/>
        <w:jc w:val="center"/>
        <w:rPr>
          <w:rFonts w:ascii="方正仿宋_GB2312" w:hAnsi="方正仿宋_GB2312" w:eastAsia="方正仿宋_GB2312" w:cs="方正仿宋_GB2312"/>
          <w:b/>
          <w:bCs/>
        </w:rPr>
      </w:pPr>
      <w:bookmarkStart w:id="0" w:name="_GoBack"/>
      <w:bookmarkEnd w:id="0"/>
      <w:r>
        <w:rPr>
          <w:rFonts w:hint="eastAsia" w:ascii="方正仿宋_GB2312" w:hAnsi="方正仿宋_GB2312" w:eastAsia="方正仿宋_GB2312" w:cs="方正仿宋_GB2312"/>
          <w:b/>
          <w:bCs/>
          <w:sz w:val="36"/>
          <w:szCs w:val="36"/>
          <w:lang w:val="en-US" w:eastAsia="zh-CN"/>
        </w:rPr>
        <w:t>中山大学附属第一医院广西医院</w:t>
      </w:r>
      <w:r>
        <w:rPr>
          <w:rFonts w:hint="eastAsia" w:ascii="方正仿宋_GB2312" w:hAnsi="方正仿宋_GB2312" w:eastAsia="方正仿宋_GB2312" w:cs="方正仿宋_GB2312"/>
          <w:b/>
          <w:bCs/>
          <w:sz w:val="36"/>
          <w:szCs w:val="36"/>
        </w:rPr>
        <w:t>共享轮椅便民服务</w:t>
      </w:r>
      <w:r>
        <w:rPr>
          <w:rFonts w:hint="eastAsia" w:ascii="方正仿宋_GB2312" w:hAnsi="方正仿宋_GB2312" w:eastAsia="方正仿宋_GB2312" w:cs="方正仿宋_GB2312"/>
          <w:b/>
          <w:bCs/>
          <w:sz w:val="36"/>
          <w:szCs w:val="36"/>
          <w:lang w:val="en-US" w:eastAsia="zh-CN"/>
        </w:rPr>
        <w:t>采购</w:t>
      </w:r>
      <w:r>
        <w:rPr>
          <w:rFonts w:hint="eastAsia" w:ascii="方正仿宋_GB2312" w:hAnsi="方正仿宋_GB2312" w:eastAsia="方正仿宋_GB2312" w:cs="方正仿宋_GB2312"/>
          <w:b/>
          <w:bCs/>
          <w:sz w:val="36"/>
          <w:szCs w:val="36"/>
        </w:rPr>
        <w:t>需求</w:t>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8512"/>
        <w:gridCol w:w="730"/>
      </w:tblGrid>
      <w:tr w14:paraId="5AF7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vAlign w:val="center"/>
          </w:tcPr>
          <w:p w14:paraId="44C6FB01">
            <w:pPr>
              <w:spacing w:after="0" w:line="240" w:lineRule="atLeast"/>
              <w:jc w:val="center"/>
              <w:rPr>
                <w:rFonts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一</w:t>
            </w:r>
          </w:p>
        </w:tc>
        <w:tc>
          <w:tcPr>
            <w:tcW w:w="8512" w:type="dxa"/>
            <w:vAlign w:val="center"/>
          </w:tcPr>
          <w:p w14:paraId="016404A9">
            <w:pPr>
              <w:spacing w:after="0" w:line="240" w:lineRule="atLeast"/>
              <w:rPr>
                <w:rFonts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总体要求</w:t>
            </w:r>
          </w:p>
        </w:tc>
        <w:tc>
          <w:tcPr>
            <w:tcW w:w="730" w:type="dxa"/>
            <w:vAlign w:val="center"/>
          </w:tcPr>
          <w:p w14:paraId="1331B739">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w:t>
            </w:r>
          </w:p>
        </w:tc>
      </w:tr>
      <w:tr w14:paraId="1174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vAlign w:val="center"/>
          </w:tcPr>
          <w:p w14:paraId="38347D6F">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c>
          <w:tcPr>
            <w:tcW w:w="8512" w:type="dxa"/>
            <w:vAlign w:val="center"/>
          </w:tcPr>
          <w:p w14:paraId="5568F62C">
            <w:pPr>
              <w:spacing w:after="0" w:line="240" w:lineRule="atLeast"/>
              <w:rPr>
                <w:rFonts w:ascii="Cambria" w:hAnsi="Cambria"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满足临床科室要求，凡涉及设备安装及施工由成交供应商负责，按照科室要求提供交钥匙工程。</w:t>
            </w:r>
            <w:r>
              <w:rPr>
                <w:rFonts w:hint="eastAsia" w:ascii="Cambria" w:hAnsi="Cambria" w:eastAsia="方正仿宋_GB2312" w:cs="方正仿宋_GB2312"/>
                <w:color w:val="auto"/>
                <w:sz w:val="24"/>
                <w:szCs w:val="24"/>
              </w:rPr>
              <w:t>提供服务实施方案。</w:t>
            </w:r>
          </w:p>
        </w:tc>
        <w:tc>
          <w:tcPr>
            <w:tcW w:w="730" w:type="dxa"/>
            <w:vAlign w:val="center"/>
          </w:tcPr>
          <w:p w14:paraId="4265B1AA">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3A97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vAlign w:val="center"/>
          </w:tcPr>
          <w:p w14:paraId="4E276509">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w:t>
            </w:r>
          </w:p>
        </w:tc>
        <w:tc>
          <w:tcPr>
            <w:tcW w:w="8512" w:type="dxa"/>
            <w:vAlign w:val="center"/>
          </w:tcPr>
          <w:p w14:paraId="0A79D1F9">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要求提供轮椅原厂家的检验报告、技术参数表及产品彩页。</w:t>
            </w:r>
          </w:p>
        </w:tc>
        <w:tc>
          <w:tcPr>
            <w:tcW w:w="730" w:type="dxa"/>
            <w:vAlign w:val="center"/>
          </w:tcPr>
          <w:p w14:paraId="040F7392">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70DE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34" w:type="dxa"/>
            <w:vAlign w:val="center"/>
          </w:tcPr>
          <w:p w14:paraId="07B76E0F">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w:t>
            </w:r>
          </w:p>
        </w:tc>
        <w:tc>
          <w:tcPr>
            <w:tcW w:w="8512" w:type="dxa"/>
            <w:vAlign w:val="center"/>
          </w:tcPr>
          <w:p w14:paraId="6F6551F1">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产品应为国内外知名品牌，提供医疗器械注册证。</w:t>
            </w:r>
          </w:p>
        </w:tc>
        <w:tc>
          <w:tcPr>
            <w:tcW w:w="730" w:type="dxa"/>
            <w:vAlign w:val="center"/>
          </w:tcPr>
          <w:p w14:paraId="4A5FAAC4">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071F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vAlign w:val="center"/>
          </w:tcPr>
          <w:p w14:paraId="5A3E5474">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w:t>
            </w:r>
          </w:p>
        </w:tc>
        <w:tc>
          <w:tcPr>
            <w:tcW w:w="8512" w:type="dxa"/>
            <w:vAlign w:val="center"/>
          </w:tcPr>
          <w:p w14:paraId="2087929D">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提供近三年的销售业绩（如有）。</w:t>
            </w:r>
          </w:p>
        </w:tc>
        <w:tc>
          <w:tcPr>
            <w:tcW w:w="730" w:type="dxa"/>
            <w:vAlign w:val="center"/>
          </w:tcPr>
          <w:p w14:paraId="4473AE83">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提供</w:t>
            </w:r>
          </w:p>
        </w:tc>
      </w:tr>
      <w:tr w14:paraId="5E07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vAlign w:val="center"/>
          </w:tcPr>
          <w:p w14:paraId="4D7D0DAF">
            <w:pPr>
              <w:spacing w:after="0" w:line="240" w:lineRule="atLeas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5</w:t>
            </w:r>
          </w:p>
        </w:tc>
        <w:tc>
          <w:tcPr>
            <w:tcW w:w="8512" w:type="dxa"/>
            <w:vAlign w:val="center"/>
          </w:tcPr>
          <w:p w14:paraId="5182CAEA">
            <w:pPr>
              <w:spacing w:after="0" w:line="240" w:lineRule="atLeas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样品（如有）</w:t>
            </w:r>
          </w:p>
        </w:tc>
        <w:tc>
          <w:tcPr>
            <w:tcW w:w="730" w:type="dxa"/>
            <w:vAlign w:val="center"/>
          </w:tcPr>
          <w:p w14:paraId="21AF52C5">
            <w:pPr>
              <w:spacing w:after="0" w:line="240" w:lineRule="atLeas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提供</w:t>
            </w:r>
          </w:p>
        </w:tc>
      </w:tr>
      <w:tr w14:paraId="07F6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vAlign w:val="center"/>
          </w:tcPr>
          <w:p w14:paraId="14AFA008">
            <w:pPr>
              <w:spacing w:after="0" w:line="240" w:lineRule="atLeast"/>
              <w:jc w:val="center"/>
              <w:rPr>
                <w:rFonts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二</w:t>
            </w:r>
          </w:p>
        </w:tc>
        <w:tc>
          <w:tcPr>
            <w:tcW w:w="8512" w:type="dxa"/>
            <w:vAlign w:val="center"/>
          </w:tcPr>
          <w:p w14:paraId="33A55CCD">
            <w:pPr>
              <w:spacing w:after="0" w:line="240" w:lineRule="atLeast"/>
              <w:rPr>
                <w:rFonts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服务及技术要求</w:t>
            </w:r>
          </w:p>
        </w:tc>
        <w:tc>
          <w:tcPr>
            <w:tcW w:w="730" w:type="dxa"/>
            <w:vAlign w:val="center"/>
          </w:tcPr>
          <w:p w14:paraId="79393215">
            <w:pPr>
              <w:spacing w:after="0" w:line="240" w:lineRule="atLeast"/>
              <w:jc w:val="center"/>
              <w:rPr>
                <w:rFonts w:ascii="方正仿宋_GB2312" w:hAnsi="方正仿宋_GB2312" w:eastAsia="方正仿宋_GB2312" w:cs="方正仿宋_GB2312"/>
                <w:color w:val="auto"/>
                <w:sz w:val="24"/>
                <w:szCs w:val="24"/>
              </w:rPr>
            </w:pPr>
          </w:p>
        </w:tc>
      </w:tr>
      <w:tr w14:paraId="5E47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vAlign w:val="center"/>
          </w:tcPr>
          <w:p w14:paraId="51978139">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c>
          <w:tcPr>
            <w:tcW w:w="8512" w:type="dxa"/>
            <w:vAlign w:val="center"/>
          </w:tcPr>
          <w:p w14:paraId="72C9DA4A">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必须在指定的区域内放置轮椅，首次放置台数</w:t>
            </w:r>
            <w:r>
              <w:rPr>
                <w:rFonts w:hint="eastAsia" w:ascii="方正仿宋_GB2312" w:hAnsi="方正仿宋_GB2312" w:eastAsia="方正仿宋_GB2312" w:cs="方正仿宋_GB2312"/>
                <w:color w:val="auto"/>
                <w:sz w:val="24"/>
                <w:szCs w:val="24"/>
                <w:lang w:val="en-US" w:eastAsia="zh-CN"/>
              </w:rPr>
              <w:t>≥</w:t>
            </w:r>
            <w:r>
              <w:rPr>
                <w:rFonts w:hint="eastAsia" w:ascii="方正仿宋_GB2312" w:hAnsi="方正仿宋_GB2312" w:eastAsia="方正仿宋_GB2312" w:cs="方正仿宋_GB2312"/>
                <w:color w:val="auto"/>
                <w:sz w:val="24"/>
                <w:szCs w:val="24"/>
              </w:rPr>
              <w:t>45套（门诊</w:t>
            </w:r>
            <w:r>
              <w:rPr>
                <w:rFonts w:hint="eastAsia" w:ascii="方正仿宋_GB2312" w:hAnsi="方正仿宋_GB2312" w:eastAsia="方正仿宋_GB2312" w:cs="方正仿宋_GB2312"/>
                <w:color w:val="auto"/>
                <w:sz w:val="24"/>
                <w:szCs w:val="24"/>
                <w:lang w:val="en-US" w:eastAsia="zh-CN"/>
              </w:rPr>
              <w:t>≥</w:t>
            </w:r>
            <w:r>
              <w:rPr>
                <w:rFonts w:hint="eastAsia" w:ascii="方正仿宋_GB2312" w:hAnsi="方正仿宋_GB2312" w:eastAsia="方正仿宋_GB2312" w:cs="方正仿宋_GB2312"/>
                <w:color w:val="auto"/>
                <w:sz w:val="24"/>
                <w:szCs w:val="24"/>
              </w:rPr>
              <w:t>37套、急诊</w:t>
            </w:r>
            <w:r>
              <w:rPr>
                <w:rFonts w:hint="eastAsia" w:ascii="方正仿宋_GB2312" w:hAnsi="方正仿宋_GB2312" w:eastAsia="方正仿宋_GB2312" w:cs="方正仿宋_GB2312"/>
                <w:color w:val="auto"/>
                <w:sz w:val="24"/>
                <w:szCs w:val="24"/>
                <w:lang w:val="en-US" w:eastAsia="zh-CN"/>
              </w:rPr>
              <w:t>≥</w:t>
            </w:r>
            <w:r>
              <w:rPr>
                <w:rFonts w:hint="eastAsia" w:ascii="方正仿宋_GB2312" w:hAnsi="方正仿宋_GB2312" w:eastAsia="方正仿宋_GB2312" w:cs="方正仿宋_GB2312"/>
                <w:color w:val="auto"/>
                <w:sz w:val="24"/>
                <w:szCs w:val="24"/>
              </w:rPr>
              <w:t>8套），具体数量可根据医院需要适当调整。轮椅支持印制医院LOGO，车身为医院主题颜色：红色。</w:t>
            </w:r>
          </w:p>
        </w:tc>
        <w:tc>
          <w:tcPr>
            <w:tcW w:w="730" w:type="dxa"/>
            <w:vAlign w:val="center"/>
          </w:tcPr>
          <w:p w14:paraId="15299959">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25B3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34" w:type="dxa"/>
            <w:vAlign w:val="center"/>
          </w:tcPr>
          <w:p w14:paraId="01228F74">
            <w:pPr>
              <w:spacing w:after="0" w:line="240" w:lineRule="atLeast"/>
              <w:jc w:val="center"/>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w:t>
            </w:r>
          </w:p>
        </w:tc>
        <w:tc>
          <w:tcPr>
            <w:tcW w:w="8512" w:type="dxa"/>
            <w:vAlign w:val="center"/>
          </w:tcPr>
          <w:p w14:paraId="2A5BE120">
            <w:pPr>
              <w:tabs>
                <w:tab w:val="left" w:pos="5932"/>
              </w:tabs>
              <w:spacing w:after="0" w:line="240" w:lineRule="atLeast"/>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共享轮椅租借装置应使用无需外接电源产品</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lang w:eastAsia="zh-CN"/>
              </w:rPr>
              <w:tab/>
            </w:r>
          </w:p>
        </w:tc>
        <w:tc>
          <w:tcPr>
            <w:tcW w:w="730" w:type="dxa"/>
            <w:vAlign w:val="center"/>
          </w:tcPr>
          <w:p w14:paraId="6078B325">
            <w:pPr>
              <w:spacing w:after="0" w:line="240" w:lineRule="atLeas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4BDD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14:paraId="24135FC9">
            <w:pPr>
              <w:spacing w:after="0" w:line="240" w:lineRule="atLeast"/>
              <w:jc w:val="center"/>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val="en-US" w:eastAsia="zh-CN"/>
              </w:rPr>
              <w:t>3</w:t>
            </w:r>
          </w:p>
        </w:tc>
        <w:tc>
          <w:tcPr>
            <w:tcW w:w="8512" w:type="dxa"/>
            <w:vAlign w:val="center"/>
          </w:tcPr>
          <w:p w14:paraId="311D7E84">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上锁方式：扫描开锁。</w:t>
            </w:r>
          </w:p>
        </w:tc>
        <w:tc>
          <w:tcPr>
            <w:tcW w:w="730" w:type="dxa"/>
            <w:vAlign w:val="center"/>
          </w:tcPr>
          <w:p w14:paraId="6298E449">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1294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34" w:type="dxa"/>
            <w:vAlign w:val="center"/>
          </w:tcPr>
          <w:p w14:paraId="255A302C">
            <w:pPr>
              <w:spacing w:after="0" w:line="240" w:lineRule="atLeast"/>
              <w:jc w:val="center"/>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val="en-US" w:eastAsia="zh-CN"/>
              </w:rPr>
              <w:t>4</w:t>
            </w:r>
          </w:p>
        </w:tc>
        <w:tc>
          <w:tcPr>
            <w:tcW w:w="8512" w:type="dxa"/>
            <w:vAlign w:val="center"/>
          </w:tcPr>
          <w:p w14:paraId="400D9E10">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无需安装app，支持支付宝和微信扫描，即可租借轮椅。</w:t>
            </w:r>
          </w:p>
        </w:tc>
        <w:tc>
          <w:tcPr>
            <w:tcW w:w="730" w:type="dxa"/>
            <w:vAlign w:val="center"/>
          </w:tcPr>
          <w:p w14:paraId="030E6EB3">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5243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vAlign w:val="center"/>
          </w:tcPr>
          <w:p w14:paraId="273F857E">
            <w:pPr>
              <w:spacing w:after="0" w:line="240" w:lineRule="atLeast"/>
              <w:jc w:val="center"/>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val="en-US" w:eastAsia="zh-CN"/>
              </w:rPr>
              <w:t>5</w:t>
            </w:r>
          </w:p>
        </w:tc>
        <w:tc>
          <w:tcPr>
            <w:tcW w:w="8512" w:type="dxa"/>
            <w:vAlign w:val="center"/>
          </w:tcPr>
          <w:p w14:paraId="066F6693">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组合方式：可以根据医院需要随时调整或扩充。</w:t>
            </w:r>
          </w:p>
        </w:tc>
        <w:tc>
          <w:tcPr>
            <w:tcW w:w="730" w:type="dxa"/>
            <w:vAlign w:val="center"/>
          </w:tcPr>
          <w:p w14:paraId="1274A19F">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70E4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vAlign w:val="center"/>
          </w:tcPr>
          <w:p w14:paraId="7E7B4013">
            <w:pPr>
              <w:spacing w:after="0" w:line="240" w:lineRule="atLeast"/>
              <w:jc w:val="center"/>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val="en-US" w:eastAsia="zh-CN"/>
              </w:rPr>
              <w:t>6</w:t>
            </w:r>
          </w:p>
        </w:tc>
        <w:tc>
          <w:tcPr>
            <w:tcW w:w="8512" w:type="dxa"/>
            <w:vAlign w:val="center"/>
          </w:tcPr>
          <w:p w14:paraId="780B5DB0">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免押设置：可按照医院要求设置，同时支持微信或支付宝信用免押。</w:t>
            </w:r>
          </w:p>
        </w:tc>
        <w:tc>
          <w:tcPr>
            <w:tcW w:w="730" w:type="dxa"/>
            <w:vAlign w:val="center"/>
          </w:tcPr>
          <w:p w14:paraId="78A9CC4B">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2329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4" w:type="dxa"/>
            <w:vAlign w:val="center"/>
          </w:tcPr>
          <w:p w14:paraId="2EA2A4B7">
            <w:pPr>
              <w:spacing w:after="0" w:line="240" w:lineRule="atLeast"/>
              <w:jc w:val="center"/>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val="en-US" w:eastAsia="zh-CN"/>
              </w:rPr>
              <w:t>7</w:t>
            </w:r>
          </w:p>
        </w:tc>
        <w:tc>
          <w:tcPr>
            <w:tcW w:w="8512" w:type="dxa"/>
            <w:vAlign w:val="center"/>
          </w:tcPr>
          <w:p w14:paraId="11CD81C3">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共享轮椅必须符合国内相关标准及法律规定，并提供原厂合格证明。</w:t>
            </w:r>
          </w:p>
        </w:tc>
        <w:tc>
          <w:tcPr>
            <w:tcW w:w="730" w:type="dxa"/>
            <w:vAlign w:val="center"/>
          </w:tcPr>
          <w:p w14:paraId="4E1A82B6">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1CFD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4" w:type="dxa"/>
            <w:vAlign w:val="center"/>
          </w:tcPr>
          <w:p w14:paraId="3E3090C1">
            <w:pPr>
              <w:spacing w:after="0" w:line="240" w:lineRule="atLeast"/>
              <w:jc w:val="center"/>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val="en-US" w:eastAsia="zh-CN"/>
              </w:rPr>
              <w:t>8</w:t>
            </w:r>
          </w:p>
        </w:tc>
        <w:tc>
          <w:tcPr>
            <w:tcW w:w="8512" w:type="dxa"/>
            <w:vAlign w:val="center"/>
          </w:tcPr>
          <w:p w14:paraId="26100191">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租借流程简单快捷。</w:t>
            </w:r>
          </w:p>
        </w:tc>
        <w:tc>
          <w:tcPr>
            <w:tcW w:w="730" w:type="dxa"/>
            <w:vAlign w:val="center"/>
          </w:tcPr>
          <w:p w14:paraId="1A3F30F0">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4FFD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4" w:type="dxa"/>
            <w:vAlign w:val="center"/>
          </w:tcPr>
          <w:p w14:paraId="6C9EA59A">
            <w:pPr>
              <w:spacing w:after="0" w:line="240" w:lineRule="atLeast"/>
              <w:jc w:val="center"/>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val="en-US" w:eastAsia="zh-CN"/>
              </w:rPr>
              <w:t>9</w:t>
            </w:r>
          </w:p>
        </w:tc>
        <w:tc>
          <w:tcPr>
            <w:tcW w:w="8512" w:type="dxa"/>
            <w:vAlign w:val="center"/>
          </w:tcPr>
          <w:p w14:paraId="3057F27B">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设备租赁收费标准经济实惠，超出免费时长，租赁费用需有最高限额。如租赁人忘记归还轮椅，由成交供应商负责提醒追回并告之</w:t>
            </w:r>
            <w:r>
              <w:rPr>
                <w:rFonts w:hint="eastAsia" w:ascii="方正仿宋_GB2312" w:hAnsi="方正仿宋_GB2312" w:eastAsia="方正仿宋_GB2312" w:cs="方正仿宋_GB2312"/>
                <w:color w:val="auto"/>
                <w:sz w:val="24"/>
                <w:szCs w:val="24"/>
                <w:lang w:eastAsia="zh-CN"/>
              </w:rPr>
              <w:t>院方</w:t>
            </w:r>
            <w:r>
              <w:rPr>
                <w:rFonts w:hint="eastAsia" w:ascii="方正仿宋_GB2312" w:hAnsi="方正仿宋_GB2312" w:eastAsia="方正仿宋_GB2312" w:cs="方正仿宋_GB2312"/>
                <w:color w:val="auto"/>
                <w:sz w:val="24"/>
                <w:szCs w:val="24"/>
              </w:rPr>
              <w:t>备案。在租赁轮椅软件界面，在租赁人开锁租赁前，须提供详细的租赁收费及退还押金规则说明。租赁费用的结算方式：支付宝支付、微信支付等，提供收费标准及收费方式。租赁费用结算后，应及时退还租赁人押金。提供退还押金方案。</w:t>
            </w:r>
          </w:p>
        </w:tc>
        <w:tc>
          <w:tcPr>
            <w:tcW w:w="730" w:type="dxa"/>
            <w:vAlign w:val="center"/>
          </w:tcPr>
          <w:p w14:paraId="62D5B7DF">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29E1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4" w:type="dxa"/>
            <w:vAlign w:val="center"/>
          </w:tcPr>
          <w:p w14:paraId="440134D9">
            <w:pPr>
              <w:spacing w:after="0" w:line="240" w:lineRule="atLeast"/>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10</w:t>
            </w:r>
          </w:p>
        </w:tc>
        <w:tc>
          <w:tcPr>
            <w:tcW w:w="8512" w:type="dxa"/>
            <w:vAlign w:val="center"/>
          </w:tcPr>
          <w:p w14:paraId="416C5A12">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设备租赁收费标准符合法律法规的规定。为了提高共享轮椅的利用率，双方可协商调整免费时长和有偿租赁收费的价格，由双方另行签订补充协议约定。</w:t>
            </w:r>
          </w:p>
        </w:tc>
        <w:tc>
          <w:tcPr>
            <w:tcW w:w="730" w:type="dxa"/>
            <w:vAlign w:val="center"/>
          </w:tcPr>
          <w:p w14:paraId="4134B60A">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1A25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4" w:type="dxa"/>
            <w:vAlign w:val="center"/>
          </w:tcPr>
          <w:p w14:paraId="30BED3F7">
            <w:pPr>
              <w:spacing w:after="0" w:line="240" w:lineRule="atLeast"/>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11</w:t>
            </w:r>
          </w:p>
        </w:tc>
        <w:tc>
          <w:tcPr>
            <w:tcW w:w="8512" w:type="dxa"/>
            <w:vAlign w:val="center"/>
          </w:tcPr>
          <w:p w14:paraId="02A44CEB">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应连续投保足以履行其义务和责任的意外保险，确保租赁人在租赁轮椅过程中安全使用，由于轮椅及归位桩引发的任何纠纷或损害，均由成交供应商方负责处理和承担全部责任，医院不承担任何责任。如因成交供应商方不及时处理导致</w:t>
            </w:r>
            <w:r>
              <w:rPr>
                <w:rFonts w:hint="eastAsia" w:ascii="方正仿宋_GB2312" w:hAnsi="方正仿宋_GB2312" w:eastAsia="方正仿宋_GB2312" w:cs="方正仿宋_GB2312"/>
                <w:color w:val="auto"/>
                <w:sz w:val="24"/>
                <w:szCs w:val="24"/>
                <w:lang w:eastAsia="zh-CN"/>
              </w:rPr>
              <w:t>院方</w:t>
            </w:r>
            <w:r>
              <w:rPr>
                <w:rFonts w:hint="eastAsia" w:ascii="方正仿宋_GB2312" w:hAnsi="方正仿宋_GB2312" w:eastAsia="方正仿宋_GB2312" w:cs="方正仿宋_GB2312"/>
                <w:color w:val="auto"/>
                <w:sz w:val="24"/>
                <w:szCs w:val="24"/>
              </w:rPr>
              <w:t>对租赁人承担了赔偿责任，</w:t>
            </w:r>
            <w:r>
              <w:rPr>
                <w:rFonts w:hint="eastAsia" w:ascii="方正仿宋_GB2312" w:hAnsi="方正仿宋_GB2312" w:eastAsia="方正仿宋_GB2312" w:cs="方正仿宋_GB2312"/>
                <w:color w:val="auto"/>
                <w:sz w:val="24"/>
                <w:szCs w:val="24"/>
                <w:lang w:eastAsia="zh-CN"/>
              </w:rPr>
              <w:t>院方</w:t>
            </w:r>
            <w:r>
              <w:rPr>
                <w:rFonts w:hint="eastAsia" w:ascii="方正仿宋_GB2312" w:hAnsi="方正仿宋_GB2312" w:eastAsia="方正仿宋_GB2312" w:cs="方正仿宋_GB2312"/>
                <w:color w:val="auto"/>
                <w:sz w:val="24"/>
                <w:szCs w:val="24"/>
              </w:rPr>
              <w:t>有权按其实际承担责任的双倍向成交供应商方追偿。</w:t>
            </w:r>
          </w:p>
        </w:tc>
        <w:tc>
          <w:tcPr>
            <w:tcW w:w="730" w:type="dxa"/>
            <w:vAlign w:val="center"/>
          </w:tcPr>
          <w:p w14:paraId="509149B5">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403B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4" w:type="dxa"/>
            <w:vAlign w:val="center"/>
          </w:tcPr>
          <w:p w14:paraId="7B7A2DD0">
            <w:pPr>
              <w:spacing w:after="0" w:line="240" w:lineRule="atLeast"/>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12</w:t>
            </w:r>
          </w:p>
        </w:tc>
        <w:tc>
          <w:tcPr>
            <w:tcW w:w="8512" w:type="dxa"/>
            <w:vAlign w:val="center"/>
          </w:tcPr>
          <w:p w14:paraId="23C801B2">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开通24小时*365天客服电话，如果在租赁人办理轮椅租借过程中，发生需要赴现场处理的纠纷情况的，成交供应商方在接到</w:t>
            </w:r>
            <w:r>
              <w:rPr>
                <w:rFonts w:hint="eastAsia" w:ascii="方正仿宋_GB2312" w:hAnsi="方正仿宋_GB2312" w:eastAsia="方正仿宋_GB2312" w:cs="方正仿宋_GB2312"/>
                <w:color w:val="auto"/>
                <w:sz w:val="24"/>
                <w:szCs w:val="24"/>
                <w:lang w:eastAsia="zh-CN"/>
              </w:rPr>
              <w:t>院方</w:t>
            </w:r>
            <w:r>
              <w:rPr>
                <w:rFonts w:hint="eastAsia" w:ascii="方正仿宋_GB2312" w:hAnsi="方正仿宋_GB2312" w:eastAsia="方正仿宋_GB2312" w:cs="方正仿宋_GB2312"/>
                <w:color w:val="auto"/>
                <w:sz w:val="24"/>
                <w:szCs w:val="24"/>
              </w:rPr>
              <w:t>的赴现场通知后，承诺1小时内到达现场。并由成交供应商方处理并承担全部责任，</w:t>
            </w:r>
            <w:r>
              <w:rPr>
                <w:rFonts w:hint="eastAsia" w:ascii="方正仿宋_GB2312" w:hAnsi="方正仿宋_GB2312" w:eastAsia="方正仿宋_GB2312" w:cs="方正仿宋_GB2312"/>
                <w:color w:val="auto"/>
                <w:sz w:val="24"/>
                <w:szCs w:val="24"/>
                <w:lang w:eastAsia="zh-CN"/>
              </w:rPr>
              <w:t>院方</w:t>
            </w:r>
            <w:r>
              <w:rPr>
                <w:rFonts w:hint="eastAsia" w:ascii="方正仿宋_GB2312" w:hAnsi="方正仿宋_GB2312" w:eastAsia="方正仿宋_GB2312" w:cs="方正仿宋_GB2312"/>
                <w:color w:val="auto"/>
                <w:sz w:val="24"/>
                <w:szCs w:val="24"/>
              </w:rPr>
              <w:t>不承担任何责任。</w:t>
            </w:r>
          </w:p>
        </w:tc>
        <w:tc>
          <w:tcPr>
            <w:tcW w:w="730" w:type="dxa"/>
            <w:vAlign w:val="center"/>
          </w:tcPr>
          <w:p w14:paraId="2341B506">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3ED8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4" w:type="dxa"/>
            <w:vAlign w:val="center"/>
          </w:tcPr>
          <w:p w14:paraId="4E6A46A5">
            <w:pPr>
              <w:spacing w:after="0" w:line="240" w:lineRule="atLeast"/>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13</w:t>
            </w:r>
          </w:p>
        </w:tc>
        <w:tc>
          <w:tcPr>
            <w:tcW w:w="8512" w:type="dxa"/>
            <w:vAlign w:val="center"/>
          </w:tcPr>
          <w:p w14:paraId="05B8FE3C">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成交供应商方对投放的共享轮椅及归位桩每周进行维护、巡检、清洁、消毒、保养等工作，并指导使用者使用，对不处于适用状态的轮椅及归位桩及时随时进行维修和更换，及时解决疑难问题，确保使用安全，最大程度防止意外事件的发生，确保其设备不对医院的公共秩序造成不良影响。</w:t>
            </w:r>
            <w:r>
              <w:rPr>
                <w:rFonts w:hint="eastAsia" w:ascii="方正仿宋_GB2312" w:hAnsi="方正仿宋_GB2312" w:eastAsia="方正仿宋_GB2312" w:cs="方正仿宋_GB2312"/>
                <w:color w:val="auto"/>
                <w:sz w:val="24"/>
                <w:szCs w:val="24"/>
                <w:lang w:val="en-US" w:eastAsia="zh-CN"/>
              </w:rPr>
              <w:t>响应文件中</w:t>
            </w:r>
            <w:r>
              <w:rPr>
                <w:rFonts w:hint="eastAsia" w:ascii="方正仿宋_GB2312" w:hAnsi="方正仿宋_GB2312" w:eastAsia="方正仿宋_GB2312" w:cs="方正仿宋_GB2312"/>
                <w:color w:val="auto"/>
                <w:sz w:val="24"/>
                <w:szCs w:val="24"/>
              </w:rPr>
              <w:t>提供工作方案。</w:t>
            </w:r>
          </w:p>
        </w:tc>
        <w:tc>
          <w:tcPr>
            <w:tcW w:w="730" w:type="dxa"/>
            <w:vAlign w:val="center"/>
          </w:tcPr>
          <w:p w14:paraId="4D34CADD">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1B9A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14:paraId="40AB7B0A">
            <w:pPr>
              <w:spacing w:after="0" w:line="240" w:lineRule="atLeast"/>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14</w:t>
            </w:r>
          </w:p>
        </w:tc>
        <w:tc>
          <w:tcPr>
            <w:tcW w:w="8512" w:type="dxa"/>
            <w:vAlign w:val="center"/>
          </w:tcPr>
          <w:p w14:paraId="71298656">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成交供应商方应当提供共享轮椅使用说明，使用说明必须清晰、明确、易于理解。若因使用者使用不当而产生的损失由成交供应商方与使用者协商解决，与</w:t>
            </w:r>
            <w:r>
              <w:rPr>
                <w:rFonts w:hint="eastAsia" w:ascii="方正仿宋_GB2312" w:hAnsi="方正仿宋_GB2312" w:eastAsia="方正仿宋_GB2312" w:cs="方正仿宋_GB2312"/>
                <w:color w:val="auto"/>
                <w:sz w:val="24"/>
                <w:szCs w:val="24"/>
                <w:lang w:val="en-US" w:eastAsia="zh-CN"/>
              </w:rPr>
              <w:t>院方</w:t>
            </w:r>
            <w:r>
              <w:rPr>
                <w:rFonts w:hint="eastAsia" w:ascii="方正仿宋_GB2312" w:hAnsi="方正仿宋_GB2312" w:eastAsia="方正仿宋_GB2312" w:cs="方正仿宋_GB2312"/>
                <w:color w:val="auto"/>
                <w:sz w:val="24"/>
                <w:szCs w:val="24"/>
              </w:rPr>
              <w:t>无关。</w:t>
            </w:r>
          </w:p>
        </w:tc>
        <w:tc>
          <w:tcPr>
            <w:tcW w:w="730" w:type="dxa"/>
            <w:vAlign w:val="center"/>
          </w:tcPr>
          <w:p w14:paraId="31692AA1">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257F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34" w:type="dxa"/>
            <w:vAlign w:val="center"/>
          </w:tcPr>
          <w:p w14:paraId="779B29C8">
            <w:pPr>
              <w:spacing w:after="0" w:line="240" w:lineRule="atLeast"/>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15</w:t>
            </w:r>
          </w:p>
        </w:tc>
        <w:tc>
          <w:tcPr>
            <w:tcW w:w="8512" w:type="dxa"/>
            <w:vAlign w:val="center"/>
          </w:tcPr>
          <w:p w14:paraId="798FEA10">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因产品的质量问题或成交供应商管理问题及不可抗力原因（包括但不仅限于产品漏电或产品安装布线不当产生的损害等情形），所产生的一切纠纷和导致使用者和</w:t>
            </w:r>
            <w:r>
              <w:rPr>
                <w:rFonts w:hint="eastAsia" w:ascii="方正仿宋_GB2312" w:hAnsi="方正仿宋_GB2312" w:eastAsia="方正仿宋_GB2312" w:cs="方正仿宋_GB2312"/>
                <w:color w:val="auto"/>
                <w:sz w:val="24"/>
                <w:szCs w:val="24"/>
                <w:lang w:val="en-US" w:eastAsia="zh-CN"/>
              </w:rPr>
              <w:t>院方</w:t>
            </w:r>
            <w:r>
              <w:rPr>
                <w:rFonts w:hint="eastAsia" w:ascii="方正仿宋_GB2312" w:hAnsi="方正仿宋_GB2312" w:eastAsia="方正仿宋_GB2312" w:cs="方正仿宋_GB2312"/>
                <w:color w:val="auto"/>
                <w:sz w:val="24"/>
                <w:szCs w:val="24"/>
              </w:rPr>
              <w:t>受到的任何伤害，均由成交供应商方承担，并负责所有的经济赔偿。</w:t>
            </w:r>
          </w:p>
        </w:tc>
        <w:tc>
          <w:tcPr>
            <w:tcW w:w="730" w:type="dxa"/>
            <w:vAlign w:val="center"/>
          </w:tcPr>
          <w:p w14:paraId="31A0A965">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392F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vAlign w:val="center"/>
          </w:tcPr>
          <w:p w14:paraId="231CFD9E">
            <w:pPr>
              <w:spacing w:after="0" w:line="240" w:lineRule="atLeast"/>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16</w:t>
            </w:r>
          </w:p>
        </w:tc>
        <w:tc>
          <w:tcPr>
            <w:tcW w:w="8512" w:type="dxa"/>
            <w:vAlign w:val="center"/>
          </w:tcPr>
          <w:p w14:paraId="7EF4B96D">
            <w:pPr>
              <w:spacing w:after="0" w:line="240" w:lineRule="atLeast"/>
              <w:rPr>
                <w:rFonts w:ascii="方正仿宋_GB2312" w:hAnsi="方正仿宋_GB2312" w:eastAsia="方正仿宋_GB2312" w:cs="方正仿宋_GB2312"/>
                <w:color w:val="auto"/>
                <w:sz w:val="40"/>
                <w:szCs w:val="40"/>
              </w:rPr>
            </w:pPr>
            <w:r>
              <w:rPr>
                <w:rFonts w:hint="eastAsia" w:ascii="方正仿宋_GB2312" w:hAnsi="方正仿宋_GB2312" w:eastAsia="方正仿宋_GB2312" w:cs="方正仿宋_GB2312"/>
                <w:color w:val="auto"/>
                <w:sz w:val="24"/>
                <w:szCs w:val="24"/>
              </w:rPr>
              <w:t>共享轮椅在运行过程中，成交供应商方应保证不损害</w:t>
            </w:r>
            <w:r>
              <w:rPr>
                <w:rFonts w:hint="eastAsia" w:ascii="方正仿宋_GB2312" w:hAnsi="方正仿宋_GB2312" w:eastAsia="方正仿宋_GB2312" w:cs="方正仿宋_GB2312"/>
                <w:color w:val="auto"/>
                <w:sz w:val="24"/>
                <w:szCs w:val="24"/>
                <w:lang w:eastAsia="zh-CN"/>
              </w:rPr>
              <w:t>院方</w:t>
            </w:r>
            <w:r>
              <w:rPr>
                <w:rFonts w:hint="eastAsia" w:ascii="方正仿宋_GB2312" w:hAnsi="方正仿宋_GB2312" w:eastAsia="方正仿宋_GB2312" w:cs="方正仿宋_GB2312"/>
                <w:color w:val="auto"/>
                <w:sz w:val="24"/>
                <w:szCs w:val="24"/>
              </w:rPr>
              <w:t>任何利益，同时软件及平台没有任何其他的广告及违背</w:t>
            </w:r>
            <w:r>
              <w:rPr>
                <w:rFonts w:hint="eastAsia" w:ascii="方正仿宋_GB2312" w:hAnsi="方正仿宋_GB2312" w:eastAsia="方正仿宋_GB2312" w:cs="方正仿宋_GB2312"/>
                <w:color w:val="auto"/>
                <w:sz w:val="24"/>
                <w:szCs w:val="24"/>
                <w:lang w:eastAsia="zh-CN"/>
              </w:rPr>
              <w:t>院方</w:t>
            </w:r>
            <w:r>
              <w:rPr>
                <w:rFonts w:hint="eastAsia" w:ascii="方正仿宋_GB2312" w:hAnsi="方正仿宋_GB2312" w:eastAsia="方正仿宋_GB2312" w:cs="方正仿宋_GB2312"/>
                <w:color w:val="auto"/>
                <w:sz w:val="24"/>
                <w:szCs w:val="24"/>
              </w:rPr>
              <w:t>要求的做法。</w:t>
            </w:r>
          </w:p>
        </w:tc>
        <w:tc>
          <w:tcPr>
            <w:tcW w:w="730" w:type="dxa"/>
            <w:vAlign w:val="center"/>
          </w:tcPr>
          <w:p w14:paraId="10A44DF6">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24DD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vAlign w:val="center"/>
          </w:tcPr>
          <w:p w14:paraId="27B8BA2A">
            <w:pPr>
              <w:spacing w:after="0" w:line="240" w:lineRule="atLeast"/>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17</w:t>
            </w:r>
          </w:p>
        </w:tc>
        <w:tc>
          <w:tcPr>
            <w:tcW w:w="8512" w:type="dxa"/>
            <w:vAlign w:val="center"/>
          </w:tcPr>
          <w:p w14:paraId="738243E9">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成交供应商方负责每周定期检修设备，以保证设备正常使用，出现故障的设备应及时随时进行维修，对于无法维修/无法继续使用的设备提供调换。提供检修维护方案。</w:t>
            </w:r>
          </w:p>
        </w:tc>
        <w:tc>
          <w:tcPr>
            <w:tcW w:w="730" w:type="dxa"/>
            <w:vAlign w:val="center"/>
          </w:tcPr>
          <w:p w14:paraId="432D519D">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7696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vAlign w:val="center"/>
          </w:tcPr>
          <w:p w14:paraId="3FD2177A">
            <w:pPr>
              <w:spacing w:after="0" w:line="240" w:lineRule="atLeast"/>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18</w:t>
            </w:r>
          </w:p>
        </w:tc>
        <w:tc>
          <w:tcPr>
            <w:tcW w:w="8512" w:type="dxa"/>
            <w:vAlign w:val="center"/>
          </w:tcPr>
          <w:p w14:paraId="6D4D3BFC">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未发生过质量安全事故。</w:t>
            </w:r>
          </w:p>
        </w:tc>
        <w:tc>
          <w:tcPr>
            <w:tcW w:w="730" w:type="dxa"/>
            <w:vAlign w:val="center"/>
          </w:tcPr>
          <w:p w14:paraId="77440FE5">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15F1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shd w:val="clear" w:color="auto" w:fill="auto"/>
            <w:vAlign w:val="center"/>
          </w:tcPr>
          <w:p w14:paraId="5B061660">
            <w:pPr>
              <w:spacing w:after="0" w:line="240" w:lineRule="atLeast"/>
              <w:jc w:val="left"/>
              <w:rPr>
                <w:rFonts w:hint="eastAsia" w:ascii="方正仿宋_GB2312" w:hAnsi="方正仿宋_GB2312" w:eastAsia="方正仿宋_GB2312" w:cs="方正仿宋_GB2312"/>
                <w:color w:val="auto"/>
                <w:sz w:val="24"/>
                <w:szCs w:val="24"/>
                <w:lang w:val="en-US" w:eastAsia="zh-CN" w:bidi="ar-SA"/>
              </w:rPr>
            </w:pPr>
            <w:r>
              <w:rPr>
                <w:rFonts w:hint="eastAsia" w:ascii="方正仿宋_GB2312" w:hAnsi="方正仿宋_GB2312" w:eastAsia="方正仿宋_GB2312" w:cs="方正仿宋_GB2312"/>
                <w:color w:val="auto"/>
                <w:sz w:val="24"/>
                <w:szCs w:val="24"/>
                <w:lang w:val="en-US" w:eastAsia="zh-CN"/>
              </w:rPr>
              <w:t>19</w:t>
            </w:r>
          </w:p>
        </w:tc>
        <w:tc>
          <w:tcPr>
            <w:tcW w:w="8512" w:type="dxa"/>
            <w:vAlign w:val="center"/>
          </w:tcPr>
          <w:p w14:paraId="6706D4B5">
            <w:pPr>
              <w:spacing w:after="0" w:line="240" w:lineRule="atLeast"/>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服务期3年，服务合同一年一签。</w:t>
            </w:r>
            <w:r>
              <w:rPr>
                <w:rFonts w:hint="eastAsia" w:ascii="方正仿宋_GB2312" w:hAnsi="方正仿宋_GB2312" w:eastAsia="方正仿宋_GB2312" w:cs="方正仿宋_GB2312"/>
                <w:color w:val="auto"/>
                <w:sz w:val="24"/>
                <w:szCs w:val="24"/>
                <w:u w:val="single"/>
                <w:lang w:val="en-US" w:eastAsia="zh-CN"/>
              </w:rPr>
              <w:t>每年</w:t>
            </w:r>
            <w:r>
              <w:rPr>
                <w:rFonts w:hint="eastAsia" w:ascii="方正仿宋_GB2312" w:hAnsi="方正仿宋_GB2312" w:eastAsia="方正仿宋_GB2312" w:cs="方正仿宋_GB2312"/>
                <w:color w:val="auto"/>
                <w:sz w:val="24"/>
                <w:szCs w:val="24"/>
                <w:u w:val="none"/>
                <w:lang w:val="en-US" w:eastAsia="zh-CN"/>
              </w:rPr>
              <w:t>对该公司人员的服</w:t>
            </w:r>
            <w:r>
              <w:rPr>
                <w:rFonts w:hint="eastAsia" w:ascii="方正仿宋_GB2312" w:hAnsi="方正仿宋_GB2312" w:eastAsia="方正仿宋_GB2312" w:cs="方正仿宋_GB2312"/>
                <w:color w:val="auto"/>
                <w:sz w:val="24"/>
                <w:szCs w:val="24"/>
                <w:lang w:val="en-US" w:eastAsia="zh-CN"/>
              </w:rPr>
              <w:t>务质量以及设备维护响应速度等内容进行综合考核，考核合格后方能进行下一次的合同签订。</w:t>
            </w:r>
          </w:p>
        </w:tc>
        <w:tc>
          <w:tcPr>
            <w:tcW w:w="730" w:type="dxa"/>
            <w:vAlign w:val="center"/>
          </w:tcPr>
          <w:p w14:paraId="18EEBFE2">
            <w:pPr>
              <w:tabs>
                <w:tab w:val="left" w:pos="247"/>
              </w:tabs>
              <w:spacing w:after="0" w:line="240" w:lineRule="atLeast"/>
              <w:jc w:val="left"/>
              <w:rPr>
                <w:rFonts w:hint="eastAsia" w:ascii="方正仿宋_GB2312" w:hAnsi="方正仿宋_GB2312" w:eastAsia="方正仿宋_GB2312" w:cs="方正仿宋_GB2312"/>
                <w:color w:val="auto"/>
                <w:sz w:val="24"/>
                <w:szCs w:val="24"/>
                <w:lang w:eastAsia="zh-CN"/>
              </w:rPr>
            </w:pPr>
          </w:p>
        </w:tc>
      </w:tr>
      <w:tr w14:paraId="06D0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shd w:val="clear" w:color="auto" w:fill="auto"/>
            <w:vAlign w:val="center"/>
          </w:tcPr>
          <w:p w14:paraId="3553A96C">
            <w:pPr>
              <w:spacing w:after="0" w:line="240" w:lineRule="atLeast"/>
              <w:jc w:val="center"/>
              <w:rPr>
                <w:rFonts w:hint="default" w:ascii="方正仿宋_GB2312" w:hAnsi="方正仿宋_GB2312" w:eastAsia="方正仿宋_GB2312" w:cs="方正仿宋_GB2312"/>
                <w:color w:val="auto"/>
                <w:sz w:val="24"/>
                <w:szCs w:val="24"/>
                <w:lang w:val="en-US" w:eastAsia="zh-CN" w:bidi="ar-SA"/>
              </w:rPr>
            </w:pPr>
            <w:r>
              <w:rPr>
                <w:rFonts w:hint="eastAsia" w:ascii="方正仿宋_GB2312" w:hAnsi="方正仿宋_GB2312" w:eastAsia="方正仿宋_GB2312" w:cs="方正仿宋_GB2312"/>
                <w:color w:val="auto"/>
                <w:sz w:val="24"/>
                <w:szCs w:val="24"/>
                <w:lang w:val="en-US" w:eastAsia="zh-CN"/>
              </w:rPr>
              <w:t>20</w:t>
            </w:r>
          </w:p>
        </w:tc>
        <w:tc>
          <w:tcPr>
            <w:tcW w:w="8512" w:type="dxa"/>
            <w:vAlign w:val="center"/>
          </w:tcPr>
          <w:p w14:paraId="297DD274">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合同生效后，成交供应商方应将保险单复印件交给院方备案。</w:t>
            </w:r>
          </w:p>
        </w:tc>
        <w:tc>
          <w:tcPr>
            <w:tcW w:w="730" w:type="dxa"/>
            <w:vAlign w:val="center"/>
          </w:tcPr>
          <w:p w14:paraId="3B64AE74">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2BA7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shd w:val="clear" w:color="auto" w:fill="auto"/>
            <w:vAlign w:val="center"/>
          </w:tcPr>
          <w:p w14:paraId="10BDA0E2">
            <w:pPr>
              <w:spacing w:after="0" w:line="240" w:lineRule="atLeast"/>
              <w:jc w:val="center"/>
              <w:rPr>
                <w:rFonts w:hint="default" w:ascii="方正仿宋_GB2312" w:hAnsi="方正仿宋_GB2312" w:eastAsia="方正仿宋_GB2312" w:cs="方正仿宋_GB2312"/>
                <w:color w:val="auto"/>
                <w:sz w:val="24"/>
                <w:szCs w:val="24"/>
                <w:lang w:val="en-US" w:eastAsia="zh-CN" w:bidi="ar-SA"/>
              </w:rPr>
            </w:pPr>
            <w:r>
              <w:rPr>
                <w:rFonts w:hint="eastAsia" w:ascii="方正仿宋_GB2312" w:hAnsi="方正仿宋_GB2312" w:eastAsia="方正仿宋_GB2312" w:cs="方正仿宋_GB2312"/>
                <w:color w:val="auto"/>
                <w:sz w:val="24"/>
                <w:szCs w:val="24"/>
                <w:lang w:val="en-US" w:eastAsia="zh-CN"/>
              </w:rPr>
              <w:t>21</w:t>
            </w:r>
          </w:p>
        </w:tc>
        <w:tc>
          <w:tcPr>
            <w:tcW w:w="8512" w:type="dxa"/>
            <w:vAlign w:val="center"/>
          </w:tcPr>
          <w:p w14:paraId="4AD7B83A">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合同期内成交供应商方负责处理政府相关部门如物价、工商税务、综合执法等部门就共享轮椅提出的各类问题，承担一切处罚后果。</w:t>
            </w:r>
          </w:p>
        </w:tc>
        <w:tc>
          <w:tcPr>
            <w:tcW w:w="730" w:type="dxa"/>
            <w:vAlign w:val="center"/>
          </w:tcPr>
          <w:p w14:paraId="331A30FF">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4791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shd w:val="clear" w:color="auto" w:fill="auto"/>
            <w:vAlign w:val="center"/>
          </w:tcPr>
          <w:p w14:paraId="7773A8FA">
            <w:pPr>
              <w:spacing w:after="0" w:line="240" w:lineRule="atLeast"/>
              <w:jc w:val="center"/>
              <w:rPr>
                <w:rFonts w:hint="default" w:ascii="方正仿宋_GB2312" w:hAnsi="方正仿宋_GB2312" w:eastAsia="方正仿宋_GB2312" w:cs="方正仿宋_GB2312"/>
                <w:color w:val="auto"/>
                <w:sz w:val="24"/>
                <w:szCs w:val="24"/>
                <w:lang w:val="en-US" w:eastAsia="zh-CN" w:bidi="ar-SA"/>
              </w:rPr>
            </w:pPr>
            <w:r>
              <w:rPr>
                <w:rFonts w:hint="eastAsia" w:ascii="方正仿宋_GB2312" w:hAnsi="方正仿宋_GB2312" w:eastAsia="方正仿宋_GB2312" w:cs="方正仿宋_GB2312"/>
                <w:color w:val="auto"/>
                <w:sz w:val="24"/>
                <w:szCs w:val="24"/>
                <w:lang w:val="en-US" w:eastAsia="zh-CN"/>
              </w:rPr>
              <w:t>22</w:t>
            </w:r>
          </w:p>
        </w:tc>
        <w:tc>
          <w:tcPr>
            <w:tcW w:w="8512" w:type="dxa"/>
            <w:vAlign w:val="center"/>
          </w:tcPr>
          <w:p w14:paraId="06C7988D">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遵守医院相关规章制度、认同医院文化，积极处理并解决投诉、接受院内院感等相关检查。</w:t>
            </w:r>
          </w:p>
        </w:tc>
        <w:tc>
          <w:tcPr>
            <w:tcW w:w="730" w:type="dxa"/>
            <w:vAlign w:val="center"/>
          </w:tcPr>
          <w:p w14:paraId="254A606A">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5C84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shd w:val="clear" w:color="auto" w:fill="auto"/>
            <w:vAlign w:val="center"/>
          </w:tcPr>
          <w:p w14:paraId="1030D462">
            <w:pPr>
              <w:spacing w:after="0" w:line="240" w:lineRule="atLeast"/>
              <w:jc w:val="center"/>
              <w:rPr>
                <w:rFonts w:hint="default" w:ascii="方正仿宋_GB2312" w:hAnsi="方正仿宋_GB2312" w:eastAsia="方正仿宋_GB2312" w:cs="方正仿宋_GB2312"/>
                <w:color w:val="auto"/>
                <w:sz w:val="24"/>
                <w:szCs w:val="24"/>
                <w:lang w:val="en-US" w:eastAsia="zh-CN" w:bidi="ar-SA"/>
              </w:rPr>
            </w:pPr>
            <w:r>
              <w:rPr>
                <w:rFonts w:hint="eastAsia" w:ascii="方正仿宋_GB2312" w:hAnsi="方正仿宋_GB2312" w:eastAsia="方正仿宋_GB2312" w:cs="方正仿宋_GB2312"/>
                <w:color w:val="auto"/>
                <w:sz w:val="24"/>
                <w:szCs w:val="24"/>
                <w:lang w:val="en-US" w:eastAsia="zh-CN"/>
              </w:rPr>
              <w:t>23</w:t>
            </w:r>
          </w:p>
        </w:tc>
        <w:tc>
          <w:tcPr>
            <w:tcW w:w="8512" w:type="dxa"/>
            <w:vAlign w:val="center"/>
          </w:tcPr>
          <w:p w14:paraId="3126EA40">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由于成交供应商方的原因导致设备安全、安全生产、消防安全等责任事故的，所有损失由成交供应商方承担。</w:t>
            </w:r>
          </w:p>
        </w:tc>
        <w:tc>
          <w:tcPr>
            <w:tcW w:w="730" w:type="dxa"/>
            <w:vAlign w:val="center"/>
          </w:tcPr>
          <w:p w14:paraId="39B61DA7">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2574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shd w:val="clear" w:color="auto" w:fill="auto"/>
            <w:vAlign w:val="center"/>
          </w:tcPr>
          <w:p w14:paraId="487D3C5D">
            <w:pPr>
              <w:spacing w:after="0" w:line="240" w:lineRule="atLeast"/>
              <w:jc w:val="center"/>
              <w:rPr>
                <w:rFonts w:hint="default" w:ascii="方正仿宋_GB2312" w:hAnsi="方正仿宋_GB2312" w:eastAsia="方正仿宋_GB2312" w:cs="方正仿宋_GB2312"/>
                <w:color w:val="auto"/>
                <w:sz w:val="24"/>
                <w:szCs w:val="24"/>
                <w:lang w:val="en-US" w:eastAsia="zh-CN" w:bidi="ar-SA"/>
              </w:rPr>
            </w:pPr>
            <w:r>
              <w:rPr>
                <w:rFonts w:hint="eastAsia" w:ascii="方正仿宋_GB2312" w:hAnsi="方正仿宋_GB2312" w:eastAsia="方正仿宋_GB2312" w:cs="方正仿宋_GB2312"/>
                <w:color w:val="auto"/>
                <w:sz w:val="24"/>
                <w:szCs w:val="24"/>
                <w:lang w:val="en-US" w:eastAsia="zh-CN"/>
              </w:rPr>
              <w:t>24</w:t>
            </w:r>
          </w:p>
        </w:tc>
        <w:tc>
          <w:tcPr>
            <w:tcW w:w="8512" w:type="dxa"/>
            <w:vAlign w:val="center"/>
          </w:tcPr>
          <w:p w14:paraId="39F21B10">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全力配合医院因各种活动需要而对共享轮椅的临时调整和相关管理要求。</w:t>
            </w:r>
          </w:p>
        </w:tc>
        <w:tc>
          <w:tcPr>
            <w:tcW w:w="730" w:type="dxa"/>
            <w:vAlign w:val="center"/>
          </w:tcPr>
          <w:p w14:paraId="67BB64C1">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0A47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shd w:val="clear" w:color="auto" w:fill="auto"/>
            <w:vAlign w:val="center"/>
          </w:tcPr>
          <w:p w14:paraId="502E629D">
            <w:pPr>
              <w:spacing w:after="0" w:line="240" w:lineRule="atLeast"/>
              <w:jc w:val="center"/>
              <w:rPr>
                <w:rFonts w:hint="default" w:ascii="方正仿宋_GB2312" w:hAnsi="方正仿宋_GB2312" w:eastAsia="方正仿宋_GB2312" w:cs="方正仿宋_GB2312"/>
                <w:color w:val="auto"/>
                <w:sz w:val="24"/>
                <w:szCs w:val="24"/>
                <w:lang w:val="en-US" w:eastAsia="zh-CN" w:bidi="ar-SA"/>
              </w:rPr>
            </w:pPr>
            <w:r>
              <w:rPr>
                <w:rFonts w:hint="eastAsia" w:ascii="方正仿宋_GB2312" w:hAnsi="方正仿宋_GB2312" w:eastAsia="方正仿宋_GB2312" w:cs="方正仿宋_GB2312"/>
                <w:color w:val="auto"/>
                <w:sz w:val="24"/>
                <w:szCs w:val="24"/>
                <w:lang w:val="en-US" w:eastAsia="zh-CN"/>
              </w:rPr>
              <w:t>25</w:t>
            </w:r>
          </w:p>
        </w:tc>
        <w:tc>
          <w:tcPr>
            <w:tcW w:w="8512" w:type="dxa"/>
            <w:vAlign w:val="center"/>
          </w:tcPr>
          <w:p w14:paraId="22D12CD3">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共享轮椅安装合理，不影响医院诊疗工作。</w:t>
            </w:r>
          </w:p>
        </w:tc>
        <w:tc>
          <w:tcPr>
            <w:tcW w:w="730" w:type="dxa"/>
            <w:vAlign w:val="center"/>
          </w:tcPr>
          <w:p w14:paraId="1A3C2FAD">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具备</w:t>
            </w:r>
          </w:p>
        </w:tc>
      </w:tr>
      <w:tr w14:paraId="7EE6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vAlign w:val="center"/>
          </w:tcPr>
          <w:p w14:paraId="5D0FFFA4">
            <w:pPr>
              <w:spacing w:after="0" w:line="240" w:lineRule="atLeast"/>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26</w:t>
            </w:r>
          </w:p>
        </w:tc>
        <w:tc>
          <w:tcPr>
            <w:tcW w:w="8512" w:type="dxa"/>
            <w:vAlign w:val="center"/>
          </w:tcPr>
          <w:p w14:paraId="4DC60B27">
            <w:pPr>
              <w:spacing w:after="0" w:line="240" w:lineRule="atLeast"/>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轮椅租借系统有端口，可链接到医院微信公众号，患者在微信公众号上也可进行轮椅租借服务。可在系统查看可借以及归还的具体楼层位置。</w:t>
            </w:r>
          </w:p>
        </w:tc>
        <w:tc>
          <w:tcPr>
            <w:tcW w:w="730" w:type="dxa"/>
            <w:vAlign w:val="center"/>
          </w:tcPr>
          <w:p w14:paraId="5C37F2B5">
            <w:pPr>
              <w:spacing w:after="0" w:line="240" w:lineRule="atLeast"/>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提供</w:t>
            </w:r>
          </w:p>
        </w:tc>
      </w:tr>
      <w:tr w14:paraId="3D70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34" w:type="dxa"/>
            <w:vAlign w:val="center"/>
          </w:tcPr>
          <w:p w14:paraId="2231BA77">
            <w:pPr>
              <w:spacing w:after="0" w:line="240" w:lineRule="atLeast"/>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27</w:t>
            </w:r>
          </w:p>
        </w:tc>
        <w:tc>
          <w:tcPr>
            <w:tcW w:w="8512" w:type="dxa"/>
            <w:vAlign w:val="center"/>
          </w:tcPr>
          <w:p w14:paraId="2C986B06">
            <w:pPr>
              <w:spacing w:after="0" w:line="240" w:lineRule="atLeast"/>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收费标准限额：24小时内免费时长≥2小时，超出免费时长后收取≤2元/30分钟，24小时封顶收费≤30元。注：根据参与响应的公司中，最优方案者优先选择。</w:t>
            </w:r>
          </w:p>
        </w:tc>
        <w:tc>
          <w:tcPr>
            <w:tcW w:w="730" w:type="dxa"/>
            <w:vAlign w:val="center"/>
          </w:tcPr>
          <w:p w14:paraId="0BC9C068">
            <w:pPr>
              <w:spacing w:after="0" w:line="240" w:lineRule="atLeas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提供</w:t>
            </w:r>
          </w:p>
        </w:tc>
      </w:tr>
    </w:tbl>
    <w:p w14:paraId="4CC63298"/>
    <w:p w14:paraId="6C6AAD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E997995-28F0-479C-8DDB-D91C424483A3}"/>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BA599FE0-B030-4387-9159-1E49D9B20C47}"/>
  </w:font>
  <w:font w:name="Cambria">
    <w:panose1 w:val="02040503050406030204"/>
    <w:charset w:val="00"/>
    <w:family w:val="roman"/>
    <w:pitch w:val="default"/>
    <w:sig w:usb0="E00006FF" w:usb1="420024FF" w:usb2="02000000" w:usb3="00000000" w:csb0="2000019F" w:csb1="00000000"/>
    <w:embedRegular r:id="rId3" w:fontKey="{CFF979B3-3144-4403-9493-F550E476A9A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lZDBkOWNjMWM0YTUxMDI0MWM5ZDMzZGE2Y2I4MzYifQ=="/>
  </w:docVars>
  <w:rsids>
    <w:rsidRoot w:val="5D0F2509"/>
    <w:rsid w:val="00032D96"/>
    <w:rsid w:val="00075312"/>
    <w:rsid w:val="00545144"/>
    <w:rsid w:val="005C3C2E"/>
    <w:rsid w:val="006C46F8"/>
    <w:rsid w:val="00745286"/>
    <w:rsid w:val="00812D92"/>
    <w:rsid w:val="00B466BF"/>
    <w:rsid w:val="00C81581"/>
    <w:rsid w:val="00D309E2"/>
    <w:rsid w:val="00D37E0B"/>
    <w:rsid w:val="00E23207"/>
    <w:rsid w:val="05CE5343"/>
    <w:rsid w:val="1A903AC8"/>
    <w:rsid w:val="2C183950"/>
    <w:rsid w:val="30FC59E1"/>
    <w:rsid w:val="33775400"/>
    <w:rsid w:val="397D1A60"/>
    <w:rsid w:val="39AD239C"/>
    <w:rsid w:val="3DE23D3B"/>
    <w:rsid w:val="414A61E9"/>
    <w:rsid w:val="41652E22"/>
    <w:rsid w:val="459019B0"/>
    <w:rsid w:val="47561CDC"/>
    <w:rsid w:val="47CF24D8"/>
    <w:rsid w:val="4B403E05"/>
    <w:rsid w:val="4E300428"/>
    <w:rsid w:val="508743DF"/>
    <w:rsid w:val="52DC142F"/>
    <w:rsid w:val="54880DC3"/>
    <w:rsid w:val="55863E09"/>
    <w:rsid w:val="56145B5F"/>
    <w:rsid w:val="5D0F2509"/>
    <w:rsid w:val="5ED370DF"/>
    <w:rsid w:val="5F17203B"/>
    <w:rsid w:val="5F9D23C0"/>
    <w:rsid w:val="61146955"/>
    <w:rsid w:val="638379D3"/>
    <w:rsid w:val="67025F94"/>
    <w:rsid w:val="67B2709F"/>
    <w:rsid w:val="6AFA5F31"/>
    <w:rsid w:val="6B271FDD"/>
    <w:rsid w:val="6D8219D6"/>
    <w:rsid w:val="70826860"/>
    <w:rsid w:val="75140242"/>
    <w:rsid w:val="76907DC5"/>
    <w:rsid w:val="77ED570A"/>
    <w:rsid w:val="78EE3F38"/>
    <w:rsid w:val="7DA1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Balloon Text"/>
    <w:basedOn w:val="1"/>
    <w:link w:val="8"/>
    <w:qFormat/>
    <w:uiPriority w:val="0"/>
    <w:pPr>
      <w:spacing w:after="0"/>
    </w:pPr>
    <w:rPr>
      <w:sz w:val="18"/>
      <w:szCs w:val="18"/>
    </w:rPr>
  </w:style>
  <w:style w:type="character" w:styleId="7">
    <w:name w:val="annotation reference"/>
    <w:basedOn w:val="6"/>
    <w:qFormat/>
    <w:uiPriority w:val="0"/>
    <w:rPr>
      <w:sz w:val="21"/>
      <w:szCs w:val="21"/>
    </w:rPr>
  </w:style>
  <w:style w:type="character" w:customStyle="1" w:styleId="8">
    <w:name w:val="批注框文本 字符"/>
    <w:basedOn w:val="6"/>
    <w:link w:val="4"/>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1827</Words>
  <Characters>1861</Characters>
  <Lines>13</Lines>
  <Paragraphs>3</Paragraphs>
  <TotalTime>7</TotalTime>
  <ScaleCrop>false</ScaleCrop>
  <LinksUpToDate>false</LinksUpToDate>
  <CharactersWithSpaces>1863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2025-07-01T09:21:00Z</dcterms:created>
  <dc:creator>Administrator</dc:creator>
  <cp:lastModifiedBy>秋秋</cp:lastModifiedBy>
  <dcterms:modified xsi:type="dcterms:W3CDTF">2025-08-06T04:02:02Z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7C678BB56FFB4CF28CB72EE3BCF45D09_13</vt:lpwstr>
  </property>
  <property fmtid="{D5CDD505-2E9C-101B-9397-08002B2CF9AE}" pid="4" name="KSOTemplateDocerSaveRecord">
    <vt:lpwstr>eyJoZGlkIjoiY2Q2MjU2MzMxMTIyNzIyYTQyZjg1OTZhMmRkYzhlY2QiLCJ1c2VySWQiOiI0MTcxNjY3MTMifQ==</vt:lpwstr>
  </property>
</Properties>
</file>