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F6FF9">
      <w:pPr>
        <w:jc w:val="center"/>
        <w:rPr>
          <w:rFonts w:hint="eastAsia" w:ascii="Arial" w:hAnsi="Arial" w:cs="Arial"/>
          <w:b/>
          <w:sz w:val="40"/>
          <w:szCs w:val="40"/>
          <w:highlight w:val="none"/>
        </w:rPr>
      </w:pPr>
      <w:r>
        <w:rPr>
          <w:rFonts w:hint="eastAsia" w:ascii="Arial" w:hAnsi="Arial" w:cs="Arial"/>
          <w:b/>
          <w:sz w:val="40"/>
          <w:szCs w:val="40"/>
          <w:highlight w:val="none"/>
        </w:rPr>
        <w:t>中山大学附属第一医院广西医院</w:t>
      </w:r>
    </w:p>
    <w:p w14:paraId="3F84A7FE">
      <w:pPr>
        <w:jc w:val="center"/>
        <w:rPr>
          <w:rFonts w:ascii="Times New Roman" w:hAnsi="Times New Roman" w:eastAsia="宋体" w:cs="Times New Roman"/>
          <w:kern w:val="2"/>
          <w:sz w:val="24"/>
          <w:szCs w:val="32"/>
          <w:lang w:val="en-US" w:eastAsia="zh-CN" w:bidi="ar-SA"/>
        </w:rPr>
      </w:pPr>
      <w:r>
        <w:rPr>
          <w:rFonts w:hint="eastAsia"/>
          <w:b/>
          <w:bCs/>
          <w:sz w:val="40"/>
          <w:szCs w:val="40"/>
        </w:rPr>
        <w:t>2024年度风险评估及内部控制评价服务评分办法</w:t>
      </w:r>
    </w:p>
    <w:tbl>
      <w:tblPr>
        <w:tblStyle w:val="4"/>
        <w:tblW w:w="9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988"/>
        <w:gridCol w:w="4600"/>
        <w:gridCol w:w="1196"/>
        <w:gridCol w:w="1583"/>
      </w:tblGrid>
      <w:tr w14:paraId="3951C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8" w:type="dxa"/>
            <w:vAlign w:val="center"/>
          </w:tcPr>
          <w:p w14:paraId="71D84674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988" w:type="dxa"/>
            <w:vAlign w:val="center"/>
          </w:tcPr>
          <w:p w14:paraId="7205AA88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类型</w:t>
            </w:r>
          </w:p>
        </w:tc>
        <w:tc>
          <w:tcPr>
            <w:tcW w:w="4600" w:type="dxa"/>
            <w:vAlign w:val="center"/>
          </w:tcPr>
          <w:p w14:paraId="31D9A67B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评分标准</w:t>
            </w:r>
          </w:p>
        </w:tc>
        <w:tc>
          <w:tcPr>
            <w:tcW w:w="1196" w:type="dxa"/>
            <w:vAlign w:val="center"/>
          </w:tcPr>
          <w:p w14:paraId="74606F31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分值权重</w:t>
            </w:r>
          </w:p>
        </w:tc>
        <w:tc>
          <w:tcPr>
            <w:tcW w:w="1583" w:type="dxa"/>
            <w:vAlign w:val="center"/>
          </w:tcPr>
          <w:p w14:paraId="72E314D9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说明</w:t>
            </w:r>
          </w:p>
        </w:tc>
      </w:tr>
      <w:tr w14:paraId="5F0DF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8" w:type="dxa"/>
            <w:vAlign w:val="center"/>
          </w:tcPr>
          <w:p w14:paraId="6D3E0BFF">
            <w:pPr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bCs/>
                <w:szCs w:val="21"/>
              </w:rPr>
              <w:t>1</w:t>
            </w:r>
          </w:p>
        </w:tc>
        <w:tc>
          <w:tcPr>
            <w:tcW w:w="988" w:type="dxa"/>
            <w:vAlign w:val="center"/>
          </w:tcPr>
          <w:p w14:paraId="228D20A9">
            <w:pPr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hint="eastAsia" w:ascii="Arial" w:hAnsi="Arial" w:cs="Arial"/>
                <w:bCs/>
                <w:szCs w:val="21"/>
              </w:rPr>
              <w:t>服务方案内容</w:t>
            </w:r>
          </w:p>
        </w:tc>
        <w:tc>
          <w:tcPr>
            <w:tcW w:w="4600" w:type="dxa"/>
            <w:vAlign w:val="center"/>
          </w:tcPr>
          <w:p w14:paraId="417139BD">
            <w:pPr>
              <w:rPr>
                <w:rFonts w:ascii="Arial" w:hAnsi="Arial" w:cs="Arial"/>
                <w:bCs/>
                <w:szCs w:val="21"/>
              </w:rPr>
            </w:pPr>
            <w:r>
              <w:rPr>
                <w:rFonts w:hint="eastAsia" w:ascii="Arial" w:hAnsi="Arial" w:cs="Arial"/>
                <w:bCs/>
                <w:szCs w:val="21"/>
              </w:rPr>
              <w:t>阐述项目的服务工作方案（含评估服务工作的整体规划、实施步骤或方案、具体评估方法）：</w:t>
            </w:r>
          </w:p>
          <w:p w14:paraId="65DA30F7">
            <w:pPr>
              <w:rPr>
                <w:rFonts w:ascii="Arial" w:hAnsi="Arial" w:cs="Arial"/>
                <w:bCs/>
                <w:szCs w:val="21"/>
              </w:rPr>
            </w:pPr>
            <w:r>
              <w:rPr>
                <w:rFonts w:hint="eastAsia" w:ascii="Arial" w:hAnsi="Arial" w:cs="Arial"/>
                <w:bCs/>
                <w:szCs w:val="21"/>
              </w:rPr>
              <w:t>一档（0分）：未提供方案。</w:t>
            </w:r>
          </w:p>
          <w:p w14:paraId="7EFAED2B">
            <w:pPr>
              <w:rPr>
                <w:rFonts w:ascii="Arial" w:hAnsi="Arial" w:cs="Arial"/>
                <w:bCs/>
                <w:szCs w:val="21"/>
              </w:rPr>
            </w:pPr>
            <w:r>
              <w:rPr>
                <w:rFonts w:hint="eastAsia" w:ascii="Arial" w:hAnsi="Arial" w:cs="Arial"/>
                <w:bCs/>
                <w:szCs w:val="21"/>
              </w:rPr>
              <w:t>二档（10分）：整体服务方案不完整，不符合项目要求实施后较难达到项目目的，可行性较差。</w:t>
            </w:r>
          </w:p>
          <w:p w14:paraId="52733372">
            <w:pPr>
              <w:rPr>
                <w:rFonts w:ascii="Arial" w:hAnsi="Arial" w:cs="Arial"/>
                <w:bCs/>
                <w:szCs w:val="21"/>
              </w:rPr>
            </w:pPr>
            <w:r>
              <w:rPr>
                <w:rFonts w:hint="eastAsia" w:ascii="Arial" w:hAnsi="Arial" w:cs="Arial"/>
                <w:bCs/>
                <w:szCs w:val="21"/>
              </w:rPr>
              <w:t>三档（18分）：整体服务方案较为全面，基本符合项目要求，能够达到项目目的，具备较好的可行性。</w:t>
            </w:r>
          </w:p>
          <w:p w14:paraId="4E8FD95F">
            <w:pPr>
              <w:rPr>
                <w:rFonts w:ascii="Arial" w:hAnsi="Arial" w:cs="Arial"/>
                <w:bCs/>
                <w:szCs w:val="21"/>
              </w:rPr>
            </w:pPr>
            <w:r>
              <w:rPr>
                <w:rFonts w:hint="eastAsia" w:ascii="Arial" w:hAnsi="Arial" w:cs="Arial"/>
                <w:bCs/>
                <w:szCs w:val="21"/>
              </w:rPr>
              <w:t>四档（</w:t>
            </w:r>
            <w:r>
              <w:rPr>
                <w:rFonts w:ascii="Arial" w:hAnsi="Arial" w:cs="Arial"/>
                <w:bCs/>
                <w:szCs w:val="21"/>
              </w:rPr>
              <w:t>2</w:t>
            </w:r>
            <w:r>
              <w:rPr>
                <w:rFonts w:hint="eastAsia" w:ascii="Arial" w:hAnsi="Arial" w:cs="Arial"/>
                <w:bCs/>
                <w:szCs w:val="21"/>
              </w:rPr>
              <w:t>5分）：整体服务方案全面扎实，完全符合项目要求，能够有效达到项目目的，具有很好的可行性。</w:t>
            </w:r>
          </w:p>
        </w:tc>
        <w:tc>
          <w:tcPr>
            <w:tcW w:w="1196" w:type="dxa"/>
            <w:vAlign w:val="center"/>
          </w:tcPr>
          <w:p w14:paraId="34DDD34C">
            <w:pPr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bCs/>
                <w:szCs w:val="21"/>
              </w:rPr>
              <w:t>0-2</w:t>
            </w:r>
            <w:r>
              <w:rPr>
                <w:rFonts w:hint="eastAsia" w:ascii="Arial" w:hAnsi="Arial" w:cs="Arial"/>
                <w:bCs/>
                <w:szCs w:val="21"/>
              </w:rPr>
              <w:t>5</w:t>
            </w:r>
            <w:r>
              <w:rPr>
                <w:rFonts w:ascii="Arial" w:hAnsi="Arial" w:cs="Arial"/>
                <w:bCs/>
                <w:szCs w:val="21"/>
              </w:rPr>
              <w:t>分</w:t>
            </w:r>
          </w:p>
        </w:tc>
        <w:tc>
          <w:tcPr>
            <w:tcW w:w="1583" w:type="dxa"/>
            <w:vAlign w:val="center"/>
          </w:tcPr>
          <w:p w14:paraId="2E7BF082">
            <w:pPr>
              <w:rPr>
                <w:rFonts w:ascii="Arial" w:hAnsi="Arial" w:cs="Arial"/>
                <w:bCs/>
                <w:szCs w:val="21"/>
              </w:rPr>
            </w:pPr>
            <w:r>
              <w:rPr>
                <w:rFonts w:hint="eastAsia" w:ascii="Arial" w:hAnsi="Arial" w:cs="Arial"/>
                <w:bCs/>
                <w:szCs w:val="21"/>
              </w:rPr>
              <w:t xml:space="preserve"> </w:t>
            </w:r>
          </w:p>
        </w:tc>
      </w:tr>
      <w:tr w14:paraId="18339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8" w:type="dxa"/>
            <w:vAlign w:val="center"/>
          </w:tcPr>
          <w:p w14:paraId="24F3F299">
            <w:pPr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hint="eastAsia" w:ascii="Arial" w:hAnsi="Arial" w:cs="Arial"/>
                <w:bCs/>
                <w:szCs w:val="21"/>
              </w:rPr>
              <w:t>2</w:t>
            </w:r>
          </w:p>
        </w:tc>
        <w:tc>
          <w:tcPr>
            <w:tcW w:w="988" w:type="dxa"/>
            <w:vAlign w:val="center"/>
          </w:tcPr>
          <w:p w14:paraId="29F29DE4">
            <w:pPr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hint="eastAsia" w:ascii="Arial" w:hAnsi="Arial" w:cs="Arial"/>
                <w:bCs/>
                <w:szCs w:val="21"/>
              </w:rPr>
              <w:t>服务项目重难点分析及应对措施</w:t>
            </w:r>
          </w:p>
        </w:tc>
        <w:tc>
          <w:tcPr>
            <w:tcW w:w="4600" w:type="dxa"/>
            <w:vAlign w:val="center"/>
          </w:tcPr>
          <w:p w14:paraId="23C4244E">
            <w:pPr>
              <w:rPr>
                <w:rFonts w:ascii="Arial" w:hAnsi="Arial" w:cs="Arial"/>
                <w:bCs/>
                <w:szCs w:val="21"/>
              </w:rPr>
            </w:pPr>
            <w:r>
              <w:rPr>
                <w:rFonts w:hint="eastAsia" w:ascii="Arial" w:hAnsi="Arial" w:cs="Arial"/>
                <w:bCs/>
                <w:szCs w:val="21"/>
              </w:rPr>
              <w:t>阐述项目的重、难点内容，并根据项目重、难点提出明确的应对措施：</w:t>
            </w:r>
          </w:p>
          <w:p w14:paraId="55F20768">
            <w:pPr>
              <w:rPr>
                <w:rFonts w:ascii="Arial" w:hAnsi="Arial" w:cs="Arial"/>
                <w:bCs/>
                <w:szCs w:val="21"/>
              </w:rPr>
            </w:pPr>
            <w:r>
              <w:rPr>
                <w:rFonts w:hint="eastAsia" w:ascii="Arial" w:hAnsi="Arial" w:cs="Arial"/>
                <w:bCs/>
                <w:szCs w:val="21"/>
              </w:rPr>
              <w:t>一档（0分）：未阐述项目难、重点内容及提供应对措施。</w:t>
            </w:r>
          </w:p>
          <w:p w14:paraId="40EBCFA8">
            <w:pPr>
              <w:rPr>
                <w:rFonts w:ascii="Arial" w:hAnsi="Arial" w:cs="Arial"/>
                <w:bCs/>
                <w:szCs w:val="21"/>
              </w:rPr>
            </w:pPr>
            <w:r>
              <w:rPr>
                <w:rFonts w:hint="eastAsia" w:ascii="Arial" w:hAnsi="Arial" w:cs="Arial"/>
                <w:bCs/>
                <w:szCs w:val="21"/>
              </w:rPr>
              <w:t>二档（10分）：对项目认识理解浅显，重难点分析不合理，对应措施可行性差。</w:t>
            </w:r>
          </w:p>
          <w:p w14:paraId="5786340B">
            <w:pPr>
              <w:rPr>
                <w:rFonts w:ascii="Arial" w:hAnsi="Arial" w:cs="Arial"/>
                <w:bCs/>
                <w:szCs w:val="21"/>
              </w:rPr>
            </w:pPr>
            <w:r>
              <w:rPr>
                <w:rFonts w:hint="eastAsia" w:ascii="Arial" w:hAnsi="Arial" w:cs="Arial"/>
                <w:bCs/>
                <w:szCs w:val="21"/>
              </w:rPr>
              <w:t>三档（15分）：对项目认识理解较透彻，重难点分析较合理，对应措施可行性较强。</w:t>
            </w:r>
          </w:p>
          <w:p w14:paraId="1A87052C">
            <w:pPr>
              <w:rPr>
                <w:rFonts w:ascii="Arial" w:hAnsi="Arial" w:cs="Arial"/>
                <w:bCs/>
                <w:szCs w:val="21"/>
              </w:rPr>
            </w:pPr>
            <w:r>
              <w:rPr>
                <w:rFonts w:hint="eastAsia" w:ascii="Arial" w:hAnsi="Arial" w:cs="Arial"/>
                <w:bCs/>
                <w:szCs w:val="21"/>
              </w:rPr>
              <w:t>四档（20分）：对项目认识理解透彻，重难点分析合理，对应措施可行性强。</w:t>
            </w:r>
          </w:p>
        </w:tc>
        <w:tc>
          <w:tcPr>
            <w:tcW w:w="1196" w:type="dxa"/>
            <w:vAlign w:val="center"/>
          </w:tcPr>
          <w:p w14:paraId="1F0A3732">
            <w:pPr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hint="eastAsia" w:ascii="Arial" w:hAnsi="Arial" w:cs="Arial"/>
                <w:bCs/>
                <w:szCs w:val="21"/>
              </w:rPr>
              <w:t>0-20分</w:t>
            </w:r>
          </w:p>
        </w:tc>
        <w:tc>
          <w:tcPr>
            <w:tcW w:w="1583" w:type="dxa"/>
            <w:vAlign w:val="center"/>
          </w:tcPr>
          <w:p w14:paraId="25F602CF">
            <w:pPr>
              <w:rPr>
                <w:rFonts w:ascii="Arial" w:hAnsi="Arial" w:cs="Arial"/>
                <w:bCs/>
                <w:szCs w:val="21"/>
              </w:rPr>
            </w:pPr>
          </w:p>
        </w:tc>
      </w:tr>
      <w:tr w14:paraId="2671E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8" w:type="dxa"/>
            <w:vAlign w:val="center"/>
          </w:tcPr>
          <w:p w14:paraId="354AECB9">
            <w:pPr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hint="eastAsia" w:ascii="Arial" w:hAnsi="Arial" w:cs="Arial"/>
                <w:bCs/>
                <w:szCs w:val="21"/>
              </w:rPr>
              <w:t>3</w:t>
            </w:r>
          </w:p>
        </w:tc>
        <w:tc>
          <w:tcPr>
            <w:tcW w:w="988" w:type="dxa"/>
            <w:vAlign w:val="center"/>
          </w:tcPr>
          <w:p w14:paraId="76D90183">
            <w:pPr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hint="eastAsia" w:ascii="Arial" w:hAnsi="Arial" w:cs="Arial"/>
                <w:bCs/>
                <w:szCs w:val="21"/>
              </w:rPr>
              <w:t>类似项目业绩</w:t>
            </w:r>
          </w:p>
        </w:tc>
        <w:tc>
          <w:tcPr>
            <w:tcW w:w="4600" w:type="dxa"/>
            <w:vAlign w:val="center"/>
          </w:tcPr>
          <w:p w14:paraId="1B03C6B5">
            <w:pPr>
              <w:rPr>
                <w:rFonts w:ascii="Arial" w:hAnsi="Arial" w:cs="Arial"/>
                <w:bCs/>
                <w:szCs w:val="21"/>
              </w:rPr>
            </w:pPr>
            <w:r>
              <w:rPr>
                <w:rFonts w:hint="eastAsia" w:ascii="Arial" w:hAnsi="Arial" w:cs="Arial"/>
                <w:bCs/>
                <w:szCs w:val="21"/>
              </w:rPr>
              <w:t>提供自2022年1月1日以来</w:t>
            </w:r>
            <w:r>
              <w:rPr>
                <w:rFonts w:hint="eastAsia" w:ascii="Arial" w:hAnsi="Arial" w:cs="Arial"/>
                <w:bCs/>
                <w:szCs w:val="21"/>
                <w:lang w:val="en-US" w:eastAsia="zh-CN"/>
              </w:rPr>
              <w:t>响应</w:t>
            </w:r>
            <w:r>
              <w:rPr>
                <w:rFonts w:hint="eastAsia" w:ascii="Arial" w:hAnsi="Arial" w:cs="Arial"/>
                <w:bCs/>
                <w:szCs w:val="21"/>
              </w:rPr>
              <w:t>人承担过单位内部控制评价类似业绩，每1个业绩得5分，本项满分20分，不提供不得分。</w:t>
            </w:r>
            <w:bookmarkStart w:id="0" w:name="_GoBack"/>
            <w:bookmarkEnd w:id="0"/>
          </w:p>
        </w:tc>
        <w:tc>
          <w:tcPr>
            <w:tcW w:w="1196" w:type="dxa"/>
            <w:vAlign w:val="center"/>
          </w:tcPr>
          <w:p w14:paraId="2D021C15">
            <w:pPr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hint="eastAsia" w:ascii="Arial" w:hAnsi="Arial" w:cs="Arial"/>
                <w:bCs/>
                <w:szCs w:val="21"/>
              </w:rPr>
              <w:t>0-20分</w:t>
            </w:r>
          </w:p>
        </w:tc>
        <w:tc>
          <w:tcPr>
            <w:tcW w:w="1583" w:type="dxa"/>
            <w:vAlign w:val="center"/>
          </w:tcPr>
          <w:p w14:paraId="69AB9973">
            <w:pPr>
              <w:rPr>
                <w:rFonts w:ascii="Arial" w:hAnsi="Arial" w:cs="Arial"/>
                <w:bCs/>
                <w:szCs w:val="21"/>
              </w:rPr>
            </w:pPr>
            <w:r>
              <w:rPr>
                <w:rFonts w:hint="eastAsia" w:ascii="Arial" w:hAnsi="Arial" w:cs="Arial"/>
                <w:bCs/>
                <w:szCs w:val="21"/>
              </w:rPr>
              <w:t>提供合同或成交通知书等相关证明文件，复印件加盖公章。</w:t>
            </w:r>
          </w:p>
        </w:tc>
      </w:tr>
      <w:tr w14:paraId="4665B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5" w:hRule="atLeast"/>
          <w:jc w:val="center"/>
        </w:trPr>
        <w:tc>
          <w:tcPr>
            <w:tcW w:w="708" w:type="dxa"/>
            <w:vAlign w:val="center"/>
          </w:tcPr>
          <w:p w14:paraId="68047B46">
            <w:pPr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hint="eastAsia" w:ascii="Arial" w:hAnsi="Arial" w:cs="Arial"/>
                <w:bCs/>
                <w:szCs w:val="21"/>
              </w:rPr>
              <w:t>4</w:t>
            </w:r>
          </w:p>
        </w:tc>
        <w:tc>
          <w:tcPr>
            <w:tcW w:w="988" w:type="dxa"/>
            <w:vAlign w:val="center"/>
          </w:tcPr>
          <w:p w14:paraId="4946256A">
            <w:pPr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hint="eastAsia" w:ascii="Arial" w:hAnsi="Arial" w:cs="Arial"/>
                <w:bCs/>
                <w:szCs w:val="21"/>
              </w:rPr>
              <w:t>项目组成员</w:t>
            </w:r>
          </w:p>
        </w:tc>
        <w:tc>
          <w:tcPr>
            <w:tcW w:w="4600" w:type="dxa"/>
            <w:vAlign w:val="center"/>
          </w:tcPr>
          <w:p w14:paraId="1E13FA46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Cs w:val="21"/>
              </w:rPr>
            </w:pPr>
            <w:r>
              <w:rPr>
                <w:rFonts w:hint="eastAsia" w:ascii="Arial" w:hAnsi="Arial" w:cs="Arial"/>
                <w:bCs/>
                <w:szCs w:val="21"/>
              </w:rPr>
              <w:t>项目负责人：具备高级职称</w:t>
            </w:r>
            <w:r>
              <w:rPr>
                <w:rFonts w:hint="eastAsia" w:ascii="Arial" w:hAnsi="Arial" w:cs="Arial"/>
                <w:bCs/>
                <w:szCs w:val="21"/>
                <w:lang w:val="en-US" w:eastAsia="zh-CN"/>
              </w:rPr>
              <w:t>或注册会计师资格</w:t>
            </w:r>
            <w:r>
              <w:rPr>
                <w:rFonts w:hint="eastAsia" w:ascii="Arial" w:hAnsi="Arial" w:cs="Arial"/>
                <w:bCs/>
                <w:szCs w:val="21"/>
              </w:rPr>
              <w:t>，且有3次相关风险评估或内部控制评价服务的得6分；具备高级职称</w:t>
            </w:r>
            <w:r>
              <w:rPr>
                <w:rFonts w:hint="eastAsia" w:ascii="Arial" w:hAnsi="Arial" w:cs="Arial"/>
                <w:bCs/>
                <w:szCs w:val="21"/>
                <w:lang w:val="en-US" w:eastAsia="zh-CN"/>
              </w:rPr>
              <w:t>或注册会计师资格</w:t>
            </w:r>
            <w:r>
              <w:rPr>
                <w:rFonts w:hint="eastAsia" w:ascii="Arial" w:hAnsi="Arial" w:cs="Arial"/>
                <w:bCs/>
                <w:szCs w:val="21"/>
              </w:rPr>
              <w:t>，且有2次相关风险评估或内部控制评价服务的得3分；未配备高级职称</w:t>
            </w:r>
            <w:r>
              <w:rPr>
                <w:rFonts w:hint="eastAsia" w:ascii="Arial" w:hAnsi="Arial" w:cs="Arial"/>
                <w:bCs/>
                <w:szCs w:val="21"/>
                <w:lang w:val="en-US" w:eastAsia="zh-CN"/>
              </w:rPr>
              <w:t>或注册会计师资格</w:t>
            </w:r>
            <w:r>
              <w:rPr>
                <w:rFonts w:hint="eastAsia" w:ascii="Arial" w:hAnsi="Arial" w:cs="Arial"/>
                <w:bCs/>
                <w:szCs w:val="21"/>
              </w:rPr>
              <w:t>的不得分。</w:t>
            </w:r>
          </w:p>
          <w:p w14:paraId="61A2598B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Cs w:val="21"/>
              </w:rPr>
            </w:pPr>
            <w:r>
              <w:rPr>
                <w:rFonts w:hint="eastAsia" w:ascii="Arial" w:hAnsi="Arial" w:cs="Arial"/>
                <w:bCs/>
                <w:szCs w:val="21"/>
              </w:rPr>
              <w:t>项目其他成员具备高级职称</w:t>
            </w:r>
            <w:r>
              <w:rPr>
                <w:rFonts w:hint="eastAsia" w:ascii="Arial" w:hAnsi="Arial" w:cs="Arial"/>
                <w:bCs/>
                <w:szCs w:val="21"/>
                <w:lang w:val="en-US" w:eastAsia="zh-CN"/>
              </w:rPr>
              <w:t>或注册会计师资格</w:t>
            </w:r>
            <w:r>
              <w:rPr>
                <w:rFonts w:hint="eastAsia" w:ascii="Arial" w:hAnsi="Arial" w:cs="Arial"/>
                <w:bCs/>
                <w:szCs w:val="21"/>
              </w:rPr>
              <w:t>，每人得2分，本项最高得4分。</w:t>
            </w:r>
          </w:p>
          <w:p w14:paraId="66D5E383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Cs w:val="21"/>
              </w:rPr>
            </w:pPr>
            <w:r>
              <w:rPr>
                <w:rFonts w:hint="eastAsia" w:ascii="Arial" w:hAnsi="Arial" w:cs="Arial"/>
                <w:bCs/>
                <w:szCs w:val="21"/>
              </w:rPr>
              <w:t>项目其他成员具备中级及以上职称的，每人得1分，本项最高得2分。</w:t>
            </w:r>
          </w:p>
          <w:p w14:paraId="5FB4F5E6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bCs/>
                <w:szCs w:val="21"/>
              </w:rPr>
              <w:t>除上述</w:t>
            </w:r>
            <w:r>
              <w:rPr>
                <w:rFonts w:hint="eastAsia" w:ascii="Arial" w:hAnsi="Arial" w:cs="Arial"/>
                <w:bCs/>
                <w:szCs w:val="21"/>
              </w:rPr>
              <w:t>人员外，每增加一人得1分，本项最高3分。</w:t>
            </w:r>
          </w:p>
        </w:tc>
        <w:tc>
          <w:tcPr>
            <w:tcW w:w="1196" w:type="dxa"/>
            <w:vAlign w:val="center"/>
          </w:tcPr>
          <w:p w14:paraId="422F03BC">
            <w:pPr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hint="eastAsia" w:ascii="Arial" w:hAnsi="Arial" w:cs="Arial"/>
                <w:bCs/>
                <w:szCs w:val="21"/>
              </w:rPr>
              <w:t>0-15分</w:t>
            </w:r>
          </w:p>
        </w:tc>
        <w:tc>
          <w:tcPr>
            <w:tcW w:w="1583" w:type="dxa"/>
            <w:vAlign w:val="center"/>
          </w:tcPr>
          <w:p w14:paraId="2295BB44">
            <w:pPr>
              <w:rPr>
                <w:rFonts w:ascii="Arial" w:hAnsi="Arial" w:cs="Arial"/>
                <w:bCs/>
                <w:szCs w:val="21"/>
              </w:rPr>
            </w:pPr>
            <w:r>
              <w:rPr>
                <w:rFonts w:hint="eastAsia" w:ascii="Arial" w:hAnsi="Arial" w:cs="Arial"/>
                <w:bCs/>
                <w:szCs w:val="21"/>
              </w:rPr>
              <w:t>提供职称证书和在本单位（或分支机构）缴纳相应人员的社保证明材料（最近半年内</w:t>
            </w:r>
            <w: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  <w:t>的任意连续3个月</w:t>
            </w:r>
            <w:r>
              <w:rPr>
                <w:rFonts w:hint="eastAsia" w:ascii="Arial" w:hAnsi="Arial" w:cs="Arial"/>
                <w:bCs/>
                <w:szCs w:val="21"/>
              </w:rPr>
              <w:t>），复印件加盖公章。</w:t>
            </w:r>
          </w:p>
        </w:tc>
      </w:tr>
      <w:tr w14:paraId="3E62B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8" w:type="dxa"/>
            <w:vAlign w:val="center"/>
          </w:tcPr>
          <w:p w14:paraId="09EAC889">
            <w:pPr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hint="eastAsia" w:ascii="Arial" w:hAnsi="Arial" w:cs="Arial"/>
                <w:bCs/>
                <w:szCs w:val="21"/>
              </w:rPr>
              <w:t>5</w:t>
            </w:r>
          </w:p>
        </w:tc>
        <w:tc>
          <w:tcPr>
            <w:tcW w:w="988" w:type="dxa"/>
            <w:vAlign w:val="center"/>
          </w:tcPr>
          <w:p w14:paraId="1267AC84">
            <w:pPr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hint="eastAsia" w:ascii="Arial" w:hAnsi="Arial" w:cs="Arial"/>
                <w:bCs/>
                <w:szCs w:val="21"/>
              </w:rPr>
              <w:t>报价</w:t>
            </w:r>
          </w:p>
          <w:p w14:paraId="7E17DA2F">
            <w:pPr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hint="eastAsia" w:ascii="Arial" w:hAnsi="Arial" w:cs="Arial"/>
                <w:bCs/>
                <w:szCs w:val="21"/>
              </w:rPr>
              <w:t>得分</w:t>
            </w:r>
          </w:p>
        </w:tc>
        <w:tc>
          <w:tcPr>
            <w:tcW w:w="4600" w:type="dxa"/>
            <w:vAlign w:val="center"/>
          </w:tcPr>
          <w:p w14:paraId="54110C6D">
            <w:pPr>
              <w:rPr>
                <w:rFonts w:ascii="Arial" w:hAnsi="Arial" w:cs="Arial"/>
                <w:bCs/>
                <w:szCs w:val="21"/>
              </w:rPr>
            </w:pPr>
            <w:r>
              <w:rPr>
                <w:rFonts w:hint="eastAsia" w:ascii="Arial" w:hAnsi="Arial" w:cs="Arial"/>
                <w:bCs/>
                <w:szCs w:val="21"/>
              </w:rPr>
              <w:t>价格分采用低价优先法计算，即满足采购需求且</w:t>
            </w:r>
            <w:r>
              <w:rPr>
                <w:rFonts w:hint="eastAsia" w:ascii="Arial" w:hAnsi="Arial" w:cs="Arial"/>
                <w:bCs/>
                <w:szCs w:val="21"/>
                <w:lang w:val="en-US" w:eastAsia="zh-CN"/>
              </w:rPr>
              <w:t>响应</w:t>
            </w:r>
            <w:r>
              <w:rPr>
                <w:rFonts w:hint="eastAsia" w:ascii="Arial" w:hAnsi="Arial" w:cs="Arial"/>
                <w:bCs/>
                <w:szCs w:val="21"/>
              </w:rPr>
              <w:t>价格最低的</w:t>
            </w:r>
            <w:r>
              <w:rPr>
                <w:rFonts w:hint="eastAsia" w:ascii="Arial" w:hAnsi="Arial" w:cs="Arial"/>
                <w:bCs/>
                <w:szCs w:val="21"/>
                <w:lang w:val="en-US" w:eastAsia="zh-CN"/>
              </w:rPr>
              <w:t>响应</w:t>
            </w:r>
            <w:r>
              <w:rPr>
                <w:rFonts w:hint="eastAsia" w:ascii="Arial" w:hAnsi="Arial" w:cs="Arial"/>
                <w:bCs/>
                <w:szCs w:val="21"/>
              </w:rPr>
              <w:t>报价为评标基准价，其价格分为满分。其他</w:t>
            </w:r>
            <w:r>
              <w:rPr>
                <w:rFonts w:hint="eastAsia" w:ascii="Arial" w:hAnsi="Arial" w:cs="Arial"/>
                <w:bCs/>
                <w:szCs w:val="21"/>
                <w:lang w:val="en-US" w:eastAsia="zh-CN"/>
              </w:rPr>
              <w:t>响应人</w:t>
            </w:r>
            <w:r>
              <w:rPr>
                <w:rFonts w:hint="eastAsia" w:ascii="Arial" w:hAnsi="Arial" w:cs="Arial"/>
                <w:bCs/>
                <w:szCs w:val="21"/>
              </w:rPr>
              <w:t>的价格分统一按照下列公式计算：报价得分=（评标基准价/</w:t>
            </w:r>
            <w:r>
              <w:rPr>
                <w:rFonts w:hint="eastAsia" w:ascii="Arial" w:hAnsi="Arial" w:cs="Arial"/>
                <w:bCs/>
                <w:szCs w:val="21"/>
                <w:lang w:val="en-US" w:eastAsia="zh-CN"/>
              </w:rPr>
              <w:t>响应</w:t>
            </w:r>
            <w:r>
              <w:rPr>
                <w:rFonts w:hint="eastAsia" w:ascii="Arial" w:hAnsi="Arial" w:cs="Arial"/>
                <w:bCs/>
                <w:szCs w:val="21"/>
              </w:rPr>
              <w:t>报价）×分值权重</w:t>
            </w:r>
          </w:p>
        </w:tc>
        <w:tc>
          <w:tcPr>
            <w:tcW w:w="1196" w:type="dxa"/>
            <w:vAlign w:val="center"/>
          </w:tcPr>
          <w:p w14:paraId="5BD4C1B9">
            <w:pPr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hint="eastAsia" w:ascii="Arial" w:hAnsi="Arial" w:cs="Arial"/>
                <w:bCs/>
                <w:szCs w:val="21"/>
              </w:rPr>
              <w:t>0-20分</w:t>
            </w:r>
          </w:p>
        </w:tc>
        <w:tc>
          <w:tcPr>
            <w:tcW w:w="1583" w:type="dxa"/>
            <w:vAlign w:val="center"/>
          </w:tcPr>
          <w:p w14:paraId="7371B27C">
            <w:pPr>
              <w:rPr>
                <w:rFonts w:ascii="Arial" w:hAnsi="Arial" w:cs="Arial"/>
                <w:bCs/>
                <w:szCs w:val="21"/>
              </w:rPr>
            </w:pPr>
          </w:p>
        </w:tc>
      </w:tr>
    </w:tbl>
    <w:p w14:paraId="791D20E1">
      <w:pPr>
        <w:jc w:val="center"/>
        <w:rPr>
          <w:b/>
          <w:bCs/>
          <w:sz w:val="32"/>
          <w:szCs w:val="32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1D7051"/>
    <w:multiLevelType w:val="singleLevel"/>
    <w:tmpl w:val="781D705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1OWFmODY1ZTM4NzdlMWMzMTY1OGU4NTllM2MyYjAifQ=="/>
  </w:docVars>
  <w:rsids>
    <w:rsidRoot w:val="3BCA4695"/>
    <w:rsid w:val="00081688"/>
    <w:rsid w:val="00A813D6"/>
    <w:rsid w:val="00E641E8"/>
    <w:rsid w:val="01675739"/>
    <w:rsid w:val="01913861"/>
    <w:rsid w:val="02EB774C"/>
    <w:rsid w:val="036D2615"/>
    <w:rsid w:val="061A5470"/>
    <w:rsid w:val="0AB241FB"/>
    <w:rsid w:val="0CFF22EA"/>
    <w:rsid w:val="0E1B167A"/>
    <w:rsid w:val="0F916E5A"/>
    <w:rsid w:val="0FB32D84"/>
    <w:rsid w:val="102005A9"/>
    <w:rsid w:val="10DC2578"/>
    <w:rsid w:val="11267CD1"/>
    <w:rsid w:val="12296A3A"/>
    <w:rsid w:val="14942891"/>
    <w:rsid w:val="15585AC0"/>
    <w:rsid w:val="16FC68BB"/>
    <w:rsid w:val="188D5986"/>
    <w:rsid w:val="18AE1A47"/>
    <w:rsid w:val="19676254"/>
    <w:rsid w:val="1B4649C2"/>
    <w:rsid w:val="1B7900EB"/>
    <w:rsid w:val="1D0A3BBC"/>
    <w:rsid w:val="1E1E18EE"/>
    <w:rsid w:val="1E3A1357"/>
    <w:rsid w:val="1EB53B30"/>
    <w:rsid w:val="1F9759D3"/>
    <w:rsid w:val="1FBF453A"/>
    <w:rsid w:val="211D3C0E"/>
    <w:rsid w:val="226D4721"/>
    <w:rsid w:val="22B67E76"/>
    <w:rsid w:val="25646C45"/>
    <w:rsid w:val="25E11132"/>
    <w:rsid w:val="26062EC3"/>
    <w:rsid w:val="26FA4D54"/>
    <w:rsid w:val="292813A2"/>
    <w:rsid w:val="2A4E4E38"/>
    <w:rsid w:val="2C71213F"/>
    <w:rsid w:val="2CD73FB9"/>
    <w:rsid w:val="2CFC6DCE"/>
    <w:rsid w:val="2D2B1B78"/>
    <w:rsid w:val="2DD02989"/>
    <w:rsid w:val="2EB544CF"/>
    <w:rsid w:val="2FA554FB"/>
    <w:rsid w:val="30291672"/>
    <w:rsid w:val="33164779"/>
    <w:rsid w:val="34056097"/>
    <w:rsid w:val="34CB5A03"/>
    <w:rsid w:val="35470E02"/>
    <w:rsid w:val="35815320"/>
    <w:rsid w:val="37B5307D"/>
    <w:rsid w:val="37F76B0F"/>
    <w:rsid w:val="385916B5"/>
    <w:rsid w:val="3B0F4170"/>
    <w:rsid w:val="3BCA4695"/>
    <w:rsid w:val="3ECD2378"/>
    <w:rsid w:val="3FA96941"/>
    <w:rsid w:val="400E0E9A"/>
    <w:rsid w:val="42E76650"/>
    <w:rsid w:val="43B840D5"/>
    <w:rsid w:val="44B1130C"/>
    <w:rsid w:val="46482AF5"/>
    <w:rsid w:val="469F284C"/>
    <w:rsid w:val="49F16CCD"/>
    <w:rsid w:val="49FC6D0E"/>
    <w:rsid w:val="4C9D4708"/>
    <w:rsid w:val="4CFE47D7"/>
    <w:rsid w:val="4D221AE1"/>
    <w:rsid w:val="4D7F0CE1"/>
    <w:rsid w:val="4DCB3F26"/>
    <w:rsid w:val="4F9111A0"/>
    <w:rsid w:val="504A7CCC"/>
    <w:rsid w:val="509466EB"/>
    <w:rsid w:val="5187285A"/>
    <w:rsid w:val="5269233D"/>
    <w:rsid w:val="52C003DB"/>
    <w:rsid w:val="534C78B7"/>
    <w:rsid w:val="539227A8"/>
    <w:rsid w:val="54372316"/>
    <w:rsid w:val="55104847"/>
    <w:rsid w:val="55374AF7"/>
    <w:rsid w:val="567F61F6"/>
    <w:rsid w:val="568850AA"/>
    <w:rsid w:val="58384767"/>
    <w:rsid w:val="58BA1767"/>
    <w:rsid w:val="59833FEA"/>
    <w:rsid w:val="5A4A1958"/>
    <w:rsid w:val="5AB83A84"/>
    <w:rsid w:val="5BE93B76"/>
    <w:rsid w:val="5D413769"/>
    <w:rsid w:val="5FED5F7E"/>
    <w:rsid w:val="62EB7186"/>
    <w:rsid w:val="63496E00"/>
    <w:rsid w:val="636D05D2"/>
    <w:rsid w:val="647A3F6A"/>
    <w:rsid w:val="677E6EB5"/>
    <w:rsid w:val="692C60DC"/>
    <w:rsid w:val="69890ABB"/>
    <w:rsid w:val="6AB946DF"/>
    <w:rsid w:val="6F6B6EC0"/>
    <w:rsid w:val="6F9D48C5"/>
    <w:rsid w:val="714B51FB"/>
    <w:rsid w:val="71BD5380"/>
    <w:rsid w:val="72DA3EC9"/>
    <w:rsid w:val="7315309E"/>
    <w:rsid w:val="73692554"/>
    <w:rsid w:val="73CD50EF"/>
    <w:rsid w:val="76311082"/>
    <w:rsid w:val="771F3908"/>
    <w:rsid w:val="772D2C83"/>
    <w:rsid w:val="78174088"/>
    <w:rsid w:val="79B32E03"/>
    <w:rsid w:val="7FC7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 w:themeColor="text1"/>
      <w:sz w:val="21"/>
      <w:szCs w:val="21"/>
      <w:lang w:val="en-US" w:eastAsia="zh-CN" w:bidi="ar-SA"/>
      <w14:textFill>
        <w14:solidFill>
          <w14:schemeClr w14:val="tx1"/>
        </w14:solidFill>
      </w14:textFill>
    </w:rPr>
  </w:style>
  <w:style w:type="character" w:customStyle="1" w:styleId="7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865</Words>
  <Characters>893</Characters>
  <Lines>6</Lines>
  <Paragraphs>1</Paragraphs>
  <TotalTime>5</TotalTime>
  <ScaleCrop>false</ScaleCrop>
  <LinksUpToDate>false</LinksUpToDate>
  <CharactersWithSpaces>894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2024-01-11T02:12:00Z</dcterms:created>
  <dc:creator>LMY</dc:creator>
  <cp:lastModifiedBy>秋秋</cp:lastModifiedBy>
  <cp:lastPrinted>2024-02-01T08:43:00Z</cp:lastPrinted>
  <dcterms:modified xsi:type="dcterms:W3CDTF">2025-06-06T03:55:23Z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43329A3B82C84C0DB6699AE36A55A486_11</vt:lpwstr>
  </property>
  <property fmtid="{D5CDD505-2E9C-101B-9397-08002B2CF9AE}" pid="4" name="KSOTemplateDocerSaveRecord">
    <vt:lpwstr>eyJoZGlkIjoiY2Q2MjU2MzMxMTIyNzIyYTQyZjg1OTZhMmRkYzhlY2QiLCJ1c2VySWQiOiI0MTcxNjY3MTMifQ==</vt:lpwstr>
  </property>
</Properties>
</file>