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B957E">
      <w:pPr>
        <w:spacing w:after="0" w:line="520" w:lineRule="exact"/>
        <w:ind w:firstLine="0" w:firstLineChars="0"/>
        <w:jc w:val="center"/>
        <w:rPr>
          <w:rFonts w:hint="eastAsia" w:ascii="方正小标宋_GBK" w:hAnsi="方正小标宋_GBK" w:eastAsia="方正小标宋_GBK" w:cs="方正小标宋_GBK"/>
          <w:sz w:val="44"/>
          <w:szCs w:val="44"/>
        </w:rPr>
      </w:pPr>
    </w:p>
    <w:p w14:paraId="7211230B">
      <w:pPr>
        <w:pStyle w:val="12"/>
        <w:spacing w:after="0" w:line="600" w:lineRule="exact"/>
        <w:ind w:firstLine="0" w:firstLine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中山大学附属第一医院广西医院</w:t>
      </w:r>
    </w:p>
    <w:p w14:paraId="2B37E1F0">
      <w:pPr>
        <w:pStyle w:val="12"/>
        <w:spacing w:after="0" w:line="600" w:lineRule="exact"/>
        <w:ind w:firstLine="0" w:firstLine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2025至2026年标准研制服务市场调研需求</w:t>
      </w:r>
    </w:p>
    <w:p w14:paraId="7BBC8862">
      <w:pPr>
        <w:pStyle w:val="12"/>
        <w:spacing w:before="156" w:beforeLines="50" w:after="0" w:line="240" w:lineRule="auto"/>
        <w:ind w:firstLine="643"/>
        <w:rPr>
          <w:rFonts w:ascii="仿宋" w:hAnsi="仿宋" w:eastAsia="仿宋" w:cs="仿宋"/>
          <w:b/>
          <w:bCs/>
          <w:szCs w:val="32"/>
        </w:rPr>
      </w:pPr>
      <w:r>
        <w:rPr>
          <w:rFonts w:hint="eastAsia" w:ascii="仿宋" w:hAnsi="仿宋" w:eastAsia="仿宋" w:cs="仿宋"/>
          <w:b/>
          <w:bCs/>
          <w:szCs w:val="32"/>
        </w:rPr>
        <w:t>一、项目概况</w:t>
      </w:r>
    </w:p>
    <w:p w14:paraId="3017D2CB">
      <w:pPr>
        <w:pStyle w:val="12"/>
        <w:spacing w:after="0" w:line="240" w:lineRule="auto"/>
        <w:ind w:firstLine="640"/>
        <w:rPr>
          <w:rFonts w:ascii="仿宋" w:hAnsi="仿宋" w:eastAsia="仿宋" w:cs="仿宋"/>
          <w:szCs w:val="32"/>
        </w:rPr>
      </w:pPr>
      <w:r>
        <w:rPr>
          <w:rFonts w:hint="eastAsia" w:ascii="仿宋" w:hAnsi="仿宋" w:eastAsia="仿宋" w:cs="仿宋"/>
          <w:szCs w:val="32"/>
        </w:rPr>
        <w:t>（一）采购单位：中山大学附属第一医院广西医院</w:t>
      </w:r>
    </w:p>
    <w:p w14:paraId="5618C084">
      <w:pPr>
        <w:pStyle w:val="12"/>
        <w:spacing w:after="0" w:line="240" w:lineRule="auto"/>
        <w:ind w:firstLine="640"/>
        <w:rPr>
          <w:rFonts w:ascii="仿宋" w:hAnsi="仿宋" w:eastAsia="仿宋" w:cs="仿宋"/>
          <w:szCs w:val="32"/>
        </w:rPr>
      </w:pPr>
      <w:r>
        <w:rPr>
          <w:rFonts w:hint="eastAsia" w:ascii="仿宋" w:hAnsi="仿宋" w:eastAsia="仿宋" w:cs="仿宋"/>
          <w:szCs w:val="32"/>
        </w:rPr>
        <w:t>（二）项目名称：2025至2026年标准研制服务</w:t>
      </w:r>
    </w:p>
    <w:p w14:paraId="035E9F93">
      <w:pPr>
        <w:pStyle w:val="12"/>
        <w:spacing w:after="0" w:line="240" w:lineRule="auto"/>
        <w:ind w:firstLine="640"/>
        <w:rPr>
          <w:rFonts w:ascii="仿宋" w:hAnsi="仿宋" w:eastAsia="仿宋" w:cs="仿宋"/>
          <w:szCs w:val="32"/>
        </w:rPr>
      </w:pPr>
      <w:r>
        <w:rPr>
          <w:rFonts w:hint="eastAsia" w:ascii="仿宋" w:hAnsi="仿宋" w:eastAsia="仿宋" w:cs="仿宋"/>
          <w:szCs w:val="32"/>
        </w:rPr>
        <w:t>（三）项目地点：广西壮族自治区南宁市青秀区佛子岭路3号</w:t>
      </w:r>
    </w:p>
    <w:p w14:paraId="396C9C92">
      <w:pPr>
        <w:pStyle w:val="12"/>
        <w:spacing w:after="0" w:line="240" w:lineRule="auto"/>
        <w:ind w:firstLine="640"/>
        <w:rPr>
          <w:rFonts w:ascii="仿宋" w:hAnsi="仿宋" w:eastAsia="仿宋" w:cs="仿宋"/>
          <w:szCs w:val="32"/>
        </w:rPr>
      </w:pPr>
      <w:r>
        <w:rPr>
          <w:rFonts w:hint="eastAsia" w:ascii="仿宋" w:hAnsi="仿宋" w:eastAsia="仿宋" w:cs="仿宋"/>
          <w:szCs w:val="32"/>
        </w:rPr>
        <w:t>（四）项目服务内容：企业标准、团体标准、地方标准的研制服务（包括但不限于立项、起草、编制标准、征求意见、审定、发布、宣贯和培训）等其他与标准化相关的服务。</w:t>
      </w:r>
    </w:p>
    <w:p w14:paraId="203B5988">
      <w:pPr>
        <w:pStyle w:val="12"/>
        <w:spacing w:after="0" w:line="240" w:lineRule="auto"/>
        <w:ind w:firstLine="643"/>
        <w:rPr>
          <w:rFonts w:ascii="仿宋" w:hAnsi="仿宋" w:eastAsia="仿宋" w:cs="仿宋"/>
          <w:b/>
          <w:bCs/>
          <w:szCs w:val="32"/>
        </w:rPr>
      </w:pPr>
      <w:r>
        <w:rPr>
          <w:rFonts w:hint="eastAsia" w:ascii="仿宋" w:hAnsi="仿宋" w:eastAsia="仿宋" w:cs="仿宋"/>
          <w:b/>
          <w:bCs/>
          <w:szCs w:val="32"/>
        </w:rPr>
        <w:t>二、资质要求</w:t>
      </w:r>
    </w:p>
    <w:p w14:paraId="4B7BCB2D">
      <w:pPr>
        <w:pStyle w:val="12"/>
        <w:spacing w:after="0" w:line="240" w:lineRule="auto"/>
        <w:ind w:firstLine="640"/>
        <w:rPr>
          <w:rFonts w:ascii="仿宋" w:hAnsi="仿宋" w:eastAsia="仿宋" w:cs="仿宋"/>
          <w:szCs w:val="32"/>
        </w:rPr>
      </w:pPr>
      <w:r>
        <w:rPr>
          <w:rFonts w:hint="eastAsia" w:ascii="仿宋" w:hAnsi="仿宋" w:eastAsia="仿宋" w:cs="仿宋"/>
          <w:szCs w:val="32"/>
        </w:rPr>
        <w:t>（一）具有国内独立法人资格,注册经营范围满足本项目内容的供应商。</w:t>
      </w:r>
    </w:p>
    <w:p w14:paraId="2F6DBDB6">
      <w:pPr>
        <w:pStyle w:val="12"/>
        <w:spacing w:after="0" w:line="240" w:lineRule="auto"/>
        <w:ind w:firstLine="640"/>
        <w:rPr>
          <w:rFonts w:ascii="仿宋" w:hAnsi="仿宋" w:eastAsia="仿宋" w:cs="仿宋"/>
          <w:szCs w:val="32"/>
        </w:rPr>
      </w:pPr>
      <w:r>
        <w:rPr>
          <w:rFonts w:hint="eastAsia" w:ascii="仿宋" w:hAnsi="仿宋" w:eastAsia="仿宋" w:cs="仿宋"/>
          <w:szCs w:val="32"/>
        </w:rPr>
        <w:t>（二）对在“信用中国”网（www.creditchina.gov.cn）、中国政府采购网（www.ccgp.gov.cn）等渠道列入失信被执行人、重大税收违法案件当事人名单、政府采购严重违法失信行为记录名单及其他不符合《中华人民共和国政府采购法》第二十二条规定条件的供应商拒绝参与本项目活动（提供网页查询截图并加盖公章）。</w:t>
      </w:r>
    </w:p>
    <w:p w14:paraId="42D4026C">
      <w:pPr>
        <w:pStyle w:val="12"/>
        <w:spacing w:after="0" w:line="240" w:lineRule="auto"/>
        <w:ind w:firstLine="640"/>
        <w:rPr>
          <w:rFonts w:ascii="仿宋" w:hAnsi="仿宋" w:eastAsia="仿宋" w:cs="仿宋"/>
          <w:szCs w:val="32"/>
        </w:rPr>
      </w:pPr>
      <w:r>
        <w:rPr>
          <w:rFonts w:hint="eastAsia" w:ascii="仿宋" w:hAnsi="仿宋" w:eastAsia="仿宋" w:cs="仿宋"/>
          <w:szCs w:val="32"/>
        </w:rPr>
        <w:t>（三）本项目不接受联合体报名。</w:t>
      </w:r>
    </w:p>
    <w:p w14:paraId="0066A68C">
      <w:pPr>
        <w:pStyle w:val="12"/>
        <w:spacing w:after="0" w:line="240" w:lineRule="auto"/>
        <w:ind w:firstLine="640"/>
        <w:rPr>
          <w:rFonts w:ascii="仿宋" w:hAnsi="仿宋" w:eastAsia="仿宋" w:cs="仿宋"/>
          <w:szCs w:val="32"/>
        </w:rPr>
      </w:pPr>
      <w:r>
        <w:rPr>
          <w:rFonts w:hint="eastAsia" w:ascii="仿宋" w:hAnsi="仿宋" w:eastAsia="仿宋" w:cs="仿宋"/>
          <w:szCs w:val="32"/>
        </w:rPr>
        <w:t>（四）综合配备优秀，供应商投入的专业人员和专业结构上满足项目需求；项目负责人应有本科及以上学历，参加制定地方标准或自治区级以上（含自治区级）社会团体发布的团体标准；拟投入团队人员≥3人，其中至少1人应具有参与制定过地方标准或团体标准的相关经验。</w:t>
      </w:r>
    </w:p>
    <w:p w14:paraId="4F19F73F">
      <w:pPr>
        <w:ind w:firstLine="643" w:firstLineChars="200"/>
        <w:rPr>
          <w:rFonts w:ascii="仿宋" w:hAnsi="仿宋" w:eastAsia="仿宋" w:cs="仿宋"/>
          <w:b/>
          <w:bCs/>
          <w:sz w:val="32"/>
          <w:szCs w:val="32"/>
        </w:rPr>
      </w:pPr>
      <w:r>
        <w:rPr>
          <w:rFonts w:hint="eastAsia" w:ascii="仿宋" w:hAnsi="仿宋" w:eastAsia="仿宋" w:cs="仿宋"/>
          <w:b/>
          <w:bCs/>
          <w:sz w:val="32"/>
          <w:szCs w:val="32"/>
        </w:rPr>
        <w:t>三、项目具体要求</w:t>
      </w:r>
    </w:p>
    <w:tbl>
      <w:tblPr>
        <w:tblStyle w:val="45"/>
        <w:tblW w:w="9711" w:type="dxa"/>
        <w:tblInd w:w="-4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1113"/>
        <w:gridCol w:w="7911"/>
      </w:tblGrid>
      <w:tr w14:paraId="67950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blHeader/>
        </w:trPr>
        <w:tc>
          <w:tcPr>
            <w:tcW w:w="687" w:type="dxa"/>
            <w:shd w:val="clear" w:color="auto" w:fill="auto"/>
            <w:vAlign w:val="center"/>
          </w:tcPr>
          <w:p w14:paraId="6EEE3C69">
            <w:pPr>
              <w:pStyle w:val="44"/>
              <w:spacing w:before="69" w:line="221" w:lineRule="auto"/>
              <w:jc w:val="center"/>
              <w:rPr>
                <w:b/>
                <w:bCs/>
                <w:spacing w:val="-3"/>
                <w:sz w:val="24"/>
                <w:szCs w:val="24"/>
                <w:lang w:eastAsia="zh-CN"/>
              </w:rPr>
            </w:pPr>
            <w:r>
              <w:rPr>
                <w:rFonts w:hint="eastAsia"/>
                <w:b/>
                <w:bCs/>
                <w:spacing w:val="-3"/>
                <w:sz w:val="24"/>
                <w:szCs w:val="24"/>
                <w:lang w:eastAsia="zh-CN"/>
              </w:rPr>
              <w:t>序号</w:t>
            </w:r>
          </w:p>
        </w:tc>
        <w:tc>
          <w:tcPr>
            <w:tcW w:w="1113" w:type="dxa"/>
            <w:shd w:val="clear" w:color="auto" w:fill="auto"/>
            <w:vAlign w:val="center"/>
          </w:tcPr>
          <w:p w14:paraId="4E69EC24">
            <w:pPr>
              <w:pStyle w:val="44"/>
              <w:spacing w:before="69" w:line="221" w:lineRule="auto"/>
              <w:jc w:val="center"/>
              <w:rPr>
                <w:b/>
                <w:bCs/>
                <w:sz w:val="24"/>
                <w:szCs w:val="24"/>
              </w:rPr>
            </w:pPr>
            <w:r>
              <w:rPr>
                <w:b/>
                <w:bCs/>
                <w:spacing w:val="-3"/>
                <w:sz w:val="24"/>
                <w:szCs w:val="24"/>
              </w:rPr>
              <w:t>项目名称</w:t>
            </w:r>
          </w:p>
        </w:tc>
        <w:tc>
          <w:tcPr>
            <w:tcW w:w="7911" w:type="dxa"/>
            <w:vAlign w:val="center"/>
          </w:tcPr>
          <w:p w14:paraId="2E30DD25">
            <w:pPr>
              <w:pStyle w:val="44"/>
              <w:spacing w:before="69" w:line="221" w:lineRule="auto"/>
              <w:jc w:val="center"/>
            </w:pPr>
            <w:r>
              <w:rPr>
                <w:rFonts w:hint="eastAsia"/>
                <w:b/>
                <w:sz w:val="24"/>
              </w:rPr>
              <w:t>具体技术要求</w:t>
            </w:r>
          </w:p>
        </w:tc>
      </w:tr>
      <w:tr w14:paraId="3D7E8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2" w:hRule="atLeast"/>
        </w:trPr>
        <w:tc>
          <w:tcPr>
            <w:tcW w:w="687" w:type="dxa"/>
            <w:vAlign w:val="center"/>
          </w:tcPr>
          <w:p w14:paraId="682365A5">
            <w:pPr>
              <w:pStyle w:val="44"/>
              <w:spacing w:before="146" w:line="221" w:lineRule="auto"/>
              <w:ind w:left="128"/>
              <w:jc w:val="center"/>
              <w:rPr>
                <w:spacing w:val="-2"/>
                <w:lang w:eastAsia="zh-CN"/>
              </w:rPr>
            </w:pPr>
            <w:r>
              <w:rPr>
                <w:rFonts w:hint="eastAsia"/>
                <w:spacing w:val="-2"/>
                <w:lang w:eastAsia="zh-CN"/>
              </w:rPr>
              <w:t>1</w:t>
            </w:r>
          </w:p>
        </w:tc>
        <w:tc>
          <w:tcPr>
            <w:tcW w:w="1113" w:type="dxa"/>
            <w:vAlign w:val="center"/>
          </w:tcPr>
          <w:p w14:paraId="6186E7B7">
            <w:pPr>
              <w:spacing w:line="247" w:lineRule="auto"/>
              <w:jc w:val="both"/>
              <w:rPr>
                <w:rFonts w:ascii="Arial"/>
                <w:sz w:val="21"/>
              </w:rPr>
            </w:pPr>
          </w:p>
          <w:p w14:paraId="63F7FABF">
            <w:pPr>
              <w:pStyle w:val="44"/>
              <w:spacing w:before="68" w:line="221" w:lineRule="auto"/>
              <w:ind w:left="128"/>
              <w:jc w:val="both"/>
            </w:pPr>
            <w:r>
              <w:rPr>
                <w:rFonts w:hint="eastAsia"/>
                <w:spacing w:val="-2"/>
                <w:lang w:eastAsia="zh-CN"/>
              </w:rPr>
              <w:t>企业</w:t>
            </w:r>
            <w:r>
              <w:rPr>
                <w:spacing w:val="-2"/>
              </w:rPr>
              <w:t>标准</w:t>
            </w:r>
          </w:p>
          <w:p w14:paraId="5FABBA16">
            <w:pPr>
              <w:pStyle w:val="44"/>
              <w:spacing w:before="146" w:line="221" w:lineRule="auto"/>
              <w:ind w:left="128"/>
              <w:jc w:val="both"/>
            </w:pPr>
            <w:r>
              <w:rPr>
                <w:spacing w:val="-2"/>
              </w:rPr>
              <w:t>研制服务</w:t>
            </w:r>
          </w:p>
        </w:tc>
        <w:tc>
          <w:tcPr>
            <w:tcW w:w="7911" w:type="dxa"/>
          </w:tcPr>
          <w:p w14:paraId="169146B5">
            <w:pPr>
              <w:pStyle w:val="44"/>
              <w:spacing w:after="40" w:line="221" w:lineRule="auto"/>
              <w:ind w:left="548"/>
              <w:rPr>
                <w:lang w:eastAsia="zh-CN"/>
              </w:rPr>
            </w:pPr>
            <w:r>
              <w:rPr>
                <w:spacing w:val="-4"/>
                <w:lang w:eastAsia="zh-CN"/>
              </w:rPr>
              <w:t>1.注册与预研</w:t>
            </w:r>
          </w:p>
          <w:p w14:paraId="2894735A">
            <w:pPr>
              <w:pStyle w:val="44"/>
              <w:spacing w:after="40" w:line="352" w:lineRule="auto"/>
              <w:ind w:left="113" w:right="105" w:firstLine="419"/>
              <w:rPr>
                <w:lang w:eastAsia="zh-CN"/>
              </w:rPr>
            </w:pPr>
            <w:r>
              <w:rPr>
                <w:spacing w:val="-4"/>
                <w:lang w:eastAsia="zh-CN"/>
              </w:rPr>
              <w:t>平台注册：在国家指定的企业标准信息公共服务平台上完成账户的注册与认证工作；调研与研究：组建标准编制工作组，开展前期调研。通过实地考察、查阅资料等方式，全面收集与该标准相关的关键技术数据、现有实践</w:t>
            </w:r>
            <w:r>
              <w:rPr>
                <w:lang w:eastAsia="zh-CN"/>
              </w:rPr>
              <w:t>材料以及相关的法律、法规和国家/行业标准文件。在此基础上，</w:t>
            </w:r>
            <w:r>
              <w:rPr>
                <w:spacing w:val="-4"/>
                <w:lang w:eastAsia="zh-CN"/>
              </w:rPr>
              <w:t>深入研究并明确本标准的制定目的、意义、适用范围及核心技术内</w:t>
            </w:r>
            <w:r>
              <w:rPr>
                <w:spacing w:val="-10"/>
                <w:lang w:eastAsia="zh-CN"/>
              </w:rPr>
              <w:t>容。</w:t>
            </w:r>
          </w:p>
          <w:p w14:paraId="1E870466">
            <w:pPr>
              <w:pStyle w:val="44"/>
              <w:spacing w:after="40" w:line="220" w:lineRule="auto"/>
              <w:ind w:left="535"/>
              <w:rPr>
                <w:lang w:eastAsia="zh-CN"/>
              </w:rPr>
            </w:pPr>
            <w:r>
              <w:rPr>
                <w:spacing w:val="-2"/>
                <w:lang w:eastAsia="zh-CN"/>
              </w:rPr>
              <w:t>2.标准起草</w:t>
            </w:r>
          </w:p>
          <w:p w14:paraId="5C42923B">
            <w:pPr>
              <w:pStyle w:val="44"/>
              <w:spacing w:after="40" w:line="352" w:lineRule="auto"/>
              <w:ind w:left="114" w:right="102" w:firstLine="420"/>
              <w:rPr>
                <w:lang w:eastAsia="zh-CN"/>
              </w:rPr>
            </w:pPr>
            <w:r>
              <w:rPr>
                <w:spacing w:val="-6"/>
                <w:lang w:eastAsia="zh-CN"/>
              </w:rPr>
              <w:t>草案编制：严格遵循GB/T 1.1-2020《标准化工作导则 第</w:t>
            </w:r>
            <w:r>
              <w:rPr>
                <w:spacing w:val="-31"/>
                <w:lang w:eastAsia="zh-CN"/>
              </w:rPr>
              <w:t xml:space="preserve"> </w:t>
            </w:r>
            <w:r>
              <w:rPr>
                <w:spacing w:val="-6"/>
                <w:lang w:eastAsia="zh-CN"/>
              </w:rPr>
              <w:t>1部</w:t>
            </w:r>
            <w:r>
              <w:rPr>
                <w:spacing w:val="-4"/>
                <w:lang w:eastAsia="zh-CN"/>
              </w:rPr>
              <w:t>分：标准化文件的结构和起草规则》的要求，编制标准草案；明确内容：在草案中，需清晰界定并阐明以下核心</w:t>
            </w:r>
            <w:r>
              <w:rPr>
                <w:spacing w:val="-3"/>
                <w:lang w:eastAsia="zh-CN"/>
              </w:rPr>
              <w:t>要素：标准所涉及的相关术语及其定义、标</w:t>
            </w:r>
            <w:r>
              <w:rPr>
                <w:spacing w:val="-4"/>
                <w:lang w:eastAsia="zh-CN"/>
              </w:rPr>
              <w:t>准制定的基本原则、标准规定的对象和适用范围、明确、可量化、可验证的技术要求、标准的核心编制内容框架、实施本标准预期可带来的经济、社会等效益分析，明确支撑标准关键要素及要求的相关验证数据、实验报告</w:t>
            </w:r>
            <w:r>
              <w:rPr>
                <w:rFonts w:hint="eastAsia"/>
                <w:spacing w:val="-4"/>
                <w:lang w:eastAsia="zh-CN"/>
              </w:rPr>
              <w:t>（如有）</w:t>
            </w:r>
            <w:r>
              <w:rPr>
                <w:spacing w:val="-2"/>
                <w:lang w:eastAsia="zh-CN"/>
              </w:rPr>
              <w:t>等材料。</w:t>
            </w:r>
          </w:p>
          <w:p w14:paraId="6911CC0D">
            <w:pPr>
              <w:pStyle w:val="44"/>
              <w:spacing w:after="40" w:line="220" w:lineRule="auto"/>
              <w:ind w:left="537"/>
              <w:rPr>
                <w:lang w:eastAsia="zh-CN"/>
              </w:rPr>
            </w:pPr>
            <w:r>
              <w:rPr>
                <w:spacing w:val="-1"/>
                <w:lang w:eastAsia="zh-CN"/>
              </w:rPr>
              <w:t>3.征求意见与修改完善</w:t>
            </w:r>
          </w:p>
          <w:p w14:paraId="587A4B78">
            <w:pPr>
              <w:pStyle w:val="44"/>
              <w:spacing w:after="40" w:line="351" w:lineRule="auto"/>
              <w:ind w:left="114" w:right="102" w:firstLine="443"/>
              <w:rPr>
                <w:lang w:eastAsia="zh-CN"/>
              </w:rPr>
            </w:pPr>
            <w:r>
              <w:rPr>
                <w:spacing w:val="-5"/>
                <w:lang w:eastAsia="zh-CN"/>
              </w:rPr>
              <w:t>内部征求意见：将标准草案分发至单位内部各相关部门，广泛</w:t>
            </w:r>
            <w:r>
              <w:rPr>
                <w:spacing w:val="-4"/>
                <w:lang w:eastAsia="zh-CN"/>
              </w:rPr>
              <w:t>征求意见；研讨修订：组织内部专题研讨会，对收集到的意见和建议进行逐条分析、讨论。根据研讨结论，对标准草案进行系统性修</w:t>
            </w:r>
            <w:r>
              <w:rPr>
                <w:spacing w:val="-1"/>
                <w:lang w:eastAsia="zh-CN"/>
              </w:rPr>
              <w:t>改与完善，最终形成标准征求意见稿及编制说明。</w:t>
            </w:r>
          </w:p>
          <w:p w14:paraId="19D20E7F">
            <w:pPr>
              <w:pStyle w:val="44"/>
              <w:spacing w:after="40" w:line="219" w:lineRule="auto"/>
              <w:ind w:left="532"/>
              <w:rPr>
                <w:lang w:eastAsia="zh-CN"/>
              </w:rPr>
            </w:pPr>
            <w:r>
              <w:rPr>
                <w:spacing w:val="-1"/>
                <w:lang w:eastAsia="zh-CN"/>
              </w:rPr>
              <w:t>4.审查与发布</w:t>
            </w:r>
          </w:p>
          <w:p w14:paraId="15A25756">
            <w:pPr>
              <w:pStyle w:val="44"/>
              <w:spacing w:after="40" w:line="351" w:lineRule="auto"/>
              <w:ind w:left="114" w:right="102" w:firstLine="443"/>
              <w:rPr>
                <w:lang w:eastAsia="zh-CN"/>
              </w:rPr>
            </w:pPr>
            <w:r>
              <w:rPr>
                <w:spacing w:val="-5"/>
                <w:lang w:eastAsia="zh-CN"/>
              </w:rPr>
              <w:t>终稿审定：将修改完善后的标准草案，与</w:t>
            </w:r>
            <w:r>
              <w:rPr>
                <w:rFonts w:hint="eastAsia"/>
                <w:spacing w:val="-5"/>
                <w:lang w:eastAsia="zh-CN"/>
              </w:rPr>
              <w:t>院内相关</w:t>
            </w:r>
            <w:r>
              <w:rPr>
                <w:spacing w:val="-5"/>
                <w:lang w:eastAsia="zh-CN"/>
              </w:rPr>
              <w:t>部门进行审查；定稿与上传：根据最终审查意见完成最后修订，形成标准定稿。经确认无误后，</w:t>
            </w:r>
            <w:r>
              <w:rPr>
                <w:rFonts w:hint="eastAsia"/>
                <w:spacing w:val="-5"/>
                <w:lang w:eastAsia="zh-CN"/>
              </w:rPr>
              <w:t>将标准的最终文本及相关信息上传至企业标准信息公共服务平台，</w:t>
            </w:r>
            <w:r>
              <w:rPr>
                <w:spacing w:val="-5"/>
                <w:lang w:eastAsia="zh-CN"/>
              </w:rPr>
              <w:t>完成自我声明公开程序。</w:t>
            </w:r>
          </w:p>
        </w:tc>
      </w:tr>
      <w:tr w14:paraId="25395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2" w:hRule="atLeast"/>
        </w:trPr>
        <w:tc>
          <w:tcPr>
            <w:tcW w:w="687" w:type="dxa"/>
            <w:vAlign w:val="center"/>
          </w:tcPr>
          <w:p w14:paraId="0B995CFA">
            <w:pPr>
              <w:pStyle w:val="44"/>
              <w:spacing w:before="146" w:line="221" w:lineRule="auto"/>
              <w:ind w:left="128"/>
              <w:jc w:val="center"/>
              <w:rPr>
                <w:spacing w:val="-2"/>
                <w:lang w:eastAsia="zh-CN"/>
              </w:rPr>
            </w:pPr>
            <w:r>
              <w:rPr>
                <w:rFonts w:hint="eastAsia"/>
                <w:spacing w:val="-2"/>
                <w:lang w:eastAsia="zh-CN"/>
              </w:rPr>
              <w:t>2</w:t>
            </w:r>
          </w:p>
        </w:tc>
        <w:tc>
          <w:tcPr>
            <w:tcW w:w="1113" w:type="dxa"/>
            <w:vAlign w:val="center"/>
          </w:tcPr>
          <w:p w14:paraId="08C50F0B">
            <w:pPr>
              <w:pStyle w:val="44"/>
              <w:spacing w:before="68" w:line="221" w:lineRule="auto"/>
              <w:ind w:left="128"/>
              <w:jc w:val="both"/>
            </w:pPr>
            <w:r>
              <w:rPr>
                <w:rFonts w:hint="eastAsia"/>
                <w:spacing w:val="-2"/>
                <w:lang w:eastAsia="zh-CN"/>
              </w:rPr>
              <w:t>团体</w:t>
            </w:r>
            <w:r>
              <w:rPr>
                <w:spacing w:val="-2"/>
              </w:rPr>
              <w:t>标准</w:t>
            </w:r>
          </w:p>
          <w:p w14:paraId="2490F90D">
            <w:pPr>
              <w:pStyle w:val="44"/>
              <w:spacing w:before="146" w:line="221" w:lineRule="auto"/>
              <w:ind w:left="128"/>
              <w:jc w:val="both"/>
              <w:rPr>
                <w:spacing w:val="-2"/>
              </w:rPr>
            </w:pPr>
            <w:r>
              <w:rPr>
                <w:spacing w:val="-2"/>
              </w:rPr>
              <w:t>研制服务</w:t>
            </w:r>
          </w:p>
        </w:tc>
        <w:tc>
          <w:tcPr>
            <w:tcW w:w="7911" w:type="dxa"/>
          </w:tcPr>
          <w:p w14:paraId="2E28073C">
            <w:pPr>
              <w:pStyle w:val="44"/>
              <w:spacing w:after="40" w:line="240" w:lineRule="auto"/>
              <w:ind w:firstLine="388" w:firstLineChars="200"/>
              <w:rPr>
                <w:lang w:eastAsia="zh-CN"/>
              </w:rPr>
            </w:pPr>
            <w:r>
              <w:rPr>
                <w:rFonts w:hint="eastAsia"/>
                <w:spacing w:val="-8"/>
                <w:lang w:eastAsia="zh-CN"/>
              </w:rPr>
              <w:t>1.立项</w:t>
            </w:r>
          </w:p>
          <w:p w14:paraId="27529A68">
            <w:pPr>
              <w:spacing w:after="40" w:line="24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按照在全国团体标准发布平台中已完成综合绩效自我评价结果为二星级及以上的团体标准组织（以下称“团体标准发布机构”）对团体标准立项环节的要求，完成团体标准项目的立项项目建议书、项目计划汇总表和申请函等材料，并完成立项工作。</w:t>
            </w:r>
          </w:p>
          <w:p w14:paraId="54A27991">
            <w:pPr>
              <w:pStyle w:val="44"/>
              <w:spacing w:after="40" w:line="240" w:lineRule="auto"/>
              <w:ind w:firstLine="400" w:firstLineChars="200"/>
              <w:rPr>
                <w:lang w:eastAsia="zh-CN"/>
              </w:rPr>
            </w:pPr>
            <w:r>
              <w:rPr>
                <w:rFonts w:hint="eastAsia"/>
                <w:spacing w:val="-5"/>
                <w:lang w:eastAsia="zh-CN"/>
              </w:rPr>
              <w:t>2.起草</w:t>
            </w:r>
          </w:p>
          <w:p w14:paraId="42DAA447">
            <w:pPr>
              <w:spacing w:after="40" w:line="24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指导并协助甲方组织起草单位召开标准结构大纲和创新性的研讨会，并按照GB/T 1.1-2020要求完成团体标准项目的标准草案和编写编制说明。</w:t>
            </w:r>
          </w:p>
          <w:p w14:paraId="7C282074">
            <w:pPr>
              <w:pStyle w:val="44"/>
              <w:spacing w:after="40" w:line="240" w:lineRule="auto"/>
              <w:ind w:firstLine="412" w:firstLineChars="200"/>
              <w:rPr>
                <w:lang w:eastAsia="zh-CN"/>
              </w:rPr>
            </w:pPr>
            <w:r>
              <w:rPr>
                <w:rFonts w:hint="eastAsia"/>
                <w:spacing w:val="-2"/>
                <w:lang w:eastAsia="zh-CN"/>
              </w:rPr>
              <w:t>3.编制标准</w:t>
            </w:r>
          </w:p>
          <w:p w14:paraId="5D045581">
            <w:pPr>
              <w:spacing w:after="40" w:line="24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帮助甲方按照团体标准发布机构对标准征求意见稿及编制说明的要求，针对标准的各项创新点和主要条文，逐一完成编制说明中主要核心指标依据来源的支撑；指导并协助甲方组织起草单位召开核心技术指标编制研讨会，完成标准征求意见稿及编制说明。</w:t>
            </w:r>
          </w:p>
          <w:p w14:paraId="2210FDB2">
            <w:pPr>
              <w:pStyle w:val="44"/>
              <w:spacing w:after="40" w:line="240" w:lineRule="auto"/>
              <w:ind w:firstLine="416" w:firstLineChars="200"/>
              <w:rPr>
                <w:lang w:eastAsia="zh-CN"/>
              </w:rPr>
            </w:pPr>
            <w:r>
              <w:rPr>
                <w:rFonts w:hint="eastAsia"/>
                <w:spacing w:val="-1"/>
                <w:lang w:eastAsia="zh-CN"/>
              </w:rPr>
              <w:t>4.征求意见</w:t>
            </w:r>
          </w:p>
          <w:p w14:paraId="6310D410">
            <w:pPr>
              <w:spacing w:after="40" w:line="24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每项标准应向涉及该标准领域的7位专家征求意见，负责汇总专家和相关单位提出的意见，并支付专家征求意见咨询费用。</w:t>
            </w:r>
          </w:p>
          <w:p w14:paraId="51981873">
            <w:pPr>
              <w:pStyle w:val="44"/>
              <w:spacing w:after="40" w:line="240" w:lineRule="auto"/>
              <w:ind w:firstLine="392" w:firstLineChars="200"/>
              <w:rPr>
                <w:lang w:eastAsia="zh-CN"/>
              </w:rPr>
            </w:pPr>
            <w:r>
              <w:rPr>
                <w:rFonts w:hint="eastAsia"/>
                <w:spacing w:val="-7"/>
                <w:lang w:eastAsia="zh-CN"/>
              </w:rPr>
              <w:t>5.审定</w:t>
            </w:r>
          </w:p>
          <w:p w14:paraId="18C53016">
            <w:pPr>
              <w:spacing w:after="40" w:line="24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按照团体标准发布机构对团体标准申请审定前的要求，指导并协助甲方组织起草单位召开对征求意见环节单位和专家提出的意见进行处理的研讨会，编制完成团体标准（送审稿）、编制说明（送审稿）、征求意见处理汇总表，提供送审环节程序方面的技术指导，并派技术人员参加标准审定会，配合做好审定工作，并支付标准审定专家劳务、会议场地、用餐及租借场地等各项费用。</w:t>
            </w:r>
          </w:p>
          <w:p w14:paraId="09F998EF">
            <w:pPr>
              <w:pStyle w:val="44"/>
              <w:spacing w:after="40" w:line="240" w:lineRule="auto"/>
              <w:ind w:firstLine="408" w:firstLineChars="200"/>
              <w:rPr>
                <w:lang w:eastAsia="zh-CN"/>
              </w:rPr>
            </w:pPr>
            <w:r>
              <w:rPr>
                <w:rFonts w:hint="eastAsia"/>
                <w:spacing w:val="-3"/>
                <w:lang w:eastAsia="zh-CN"/>
              </w:rPr>
              <w:t>6.发布</w:t>
            </w:r>
          </w:p>
          <w:p w14:paraId="65617C40">
            <w:pPr>
              <w:spacing w:after="40" w:line="24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按照团体标准发布机构要求,指导并协助甲方组织起草单位按审定会专家意见修改完成团体标准（报批稿）、编制说明（报批稿）、审定会会议纪要、审定会专家意见处理汇总表、标准审定意见、审定会专家签名表、征求意见处理汇总表交付，并提供报批环节程序技术指导。</w:t>
            </w:r>
          </w:p>
          <w:p w14:paraId="2D2F852F">
            <w:pPr>
              <w:pStyle w:val="44"/>
              <w:spacing w:after="40" w:line="240" w:lineRule="auto"/>
              <w:ind w:firstLine="404" w:firstLineChars="200"/>
              <w:rPr>
                <w:lang w:eastAsia="zh-CN"/>
              </w:rPr>
            </w:pPr>
            <w:r>
              <w:rPr>
                <w:rFonts w:hint="eastAsia"/>
                <w:spacing w:val="-4"/>
                <w:lang w:eastAsia="zh-CN"/>
              </w:rPr>
              <w:t>7.宣贯和培训</w:t>
            </w:r>
          </w:p>
          <w:p w14:paraId="36024469">
            <w:pPr>
              <w:spacing w:after="40" w:line="240" w:lineRule="auto"/>
              <w:ind w:firstLine="420" w:firstLineChars="200"/>
              <w:rPr>
                <w:spacing w:val="-4"/>
              </w:rPr>
            </w:pPr>
            <w:r>
              <w:rPr>
                <w:rFonts w:hint="eastAsia" w:ascii="宋体" w:hAnsi="宋体" w:eastAsia="宋体" w:cs="宋体"/>
                <w:color w:val="000000"/>
                <w:sz w:val="21"/>
                <w:szCs w:val="21"/>
              </w:rPr>
              <w:t>标准发布实施后，协助制定标准宣贯实施计划及协助开展标准相关内容的宣贯培训活动。</w:t>
            </w:r>
          </w:p>
        </w:tc>
      </w:tr>
      <w:tr w14:paraId="65860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2" w:hRule="atLeast"/>
        </w:trPr>
        <w:tc>
          <w:tcPr>
            <w:tcW w:w="687" w:type="dxa"/>
            <w:vAlign w:val="center"/>
          </w:tcPr>
          <w:p w14:paraId="018461FC">
            <w:pPr>
              <w:pStyle w:val="44"/>
              <w:spacing w:before="146" w:line="221" w:lineRule="auto"/>
              <w:ind w:left="128"/>
              <w:jc w:val="center"/>
              <w:rPr>
                <w:spacing w:val="-2"/>
                <w:lang w:eastAsia="zh-CN"/>
              </w:rPr>
            </w:pPr>
            <w:r>
              <w:rPr>
                <w:rFonts w:hint="eastAsia"/>
                <w:spacing w:val="-2"/>
                <w:lang w:eastAsia="zh-CN"/>
              </w:rPr>
              <w:t>3</w:t>
            </w:r>
          </w:p>
        </w:tc>
        <w:tc>
          <w:tcPr>
            <w:tcW w:w="1113" w:type="dxa"/>
            <w:vAlign w:val="center"/>
          </w:tcPr>
          <w:p w14:paraId="5D751831">
            <w:pPr>
              <w:pStyle w:val="44"/>
              <w:spacing w:before="68" w:line="221" w:lineRule="auto"/>
              <w:ind w:left="128"/>
              <w:jc w:val="both"/>
            </w:pPr>
            <w:r>
              <w:rPr>
                <w:rFonts w:hint="eastAsia"/>
                <w:spacing w:val="-2"/>
                <w:lang w:eastAsia="zh-CN"/>
              </w:rPr>
              <w:t>地方</w:t>
            </w:r>
            <w:r>
              <w:rPr>
                <w:spacing w:val="-2"/>
              </w:rPr>
              <w:t>标准</w:t>
            </w:r>
          </w:p>
          <w:p w14:paraId="6DAD846D">
            <w:pPr>
              <w:pStyle w:val="44"/>
              <w:spacing w:before="146" w:line="221" w:lineRule="auto"/>
              <w:ind w:left="128"/>
              <w:jc w:val="both"/>
              <w:rPr>
                <w:spacing w:val="-2"/>
              </w:rPr>
            </w:pPr>
            <w:r>
              <w:rPr>
                <w:spacing w:val="-2"/>
              </w:rPr>
              <w:t>研制服务</w:t>
            </w:r>
          </w:p>
        </w:tc>
        <w:tc>
          <w:tcPr>
            <w:tcW w:w="7911" w:type="dxa"/>
          </w:tcPr>
          <w:p w14:paraId="1A8106F7">
            <w:pPr>
              <w:pStyle w:val="44"/>
              <w:spacing w:after="40" w:line="320" w:lineRule="auto"/>
              <w:ind w:left="113" w:right="102" w:firstLine="420"/>
              <w:rPr>
                <w:spacing w:val="-4"/>
                <w:lang w:eastAsia="zh-CN"/>
              </w:rPr>
            </w:pPr>
            <w:r>
              <w:rPr>
                <w:rFonts w:hint="eastAsia"/>
                <w:spacing w:val="-4"/>
                <w:lang w:eastAsia="zh-CN"/>
              </w:rPr>
              <w:t>1.立项</w:t>
            </w:r>
          </w:p>
          <w:p w14:paraId="57AC5922">
            <w:pPr>
              <w:pStyle w:val="44"/>
              <w:spacing w:after="40" w:line="320" w:lineRule="auto"/>
              <w:ind w:left="113" w:right="102" w:firstLine="420"/>
              <w:rPr>
                <w:spacing w:val="-4"/>
                <w:lang w:eastAsia="zh-CN"/>
              </w:rPr>
            </w:pPr>
            <w:r>
              <w:rPr>
                <w:rFonts w:hint="eastAsia"/>
                <w:spacing w:val="-4"/>
                <w:lang w:eastAsia="zh-CN"/>
              </w:rPr>
              <w:t>提供广西地方标准立项技术服务（包括</w:t>
            </w:r>
            <w:r>
              <w:rPr>
                <w:spacing w:val="-4"/>
                <w:lang w:eastAsia="zh-CN"/>
              </w:rPr>
              <w:t>：起草符合</w:t>
            </w:r>
            <w:r>
              <w:rPr>
                <w:spacing w:val="-41"/>
                <w:lang w:eastAsia="zh-CN"/>
              </w:rPr>
              <w:t xml:space="preserve"> </w:t>
            </w:r>
            <w:r>
              <w:rPr>
                <w:spacing w:val="-4"/>
                <w:lang w:eastAsia="zh-CN"/>
              </w:rPr>
              <w:t>GB/T 1.1-2020</w:t>
            </w:r>
            <w:r>
              <w:rPr>
                <w:spacing w:val="-46"/>
                <w:lang w:eastAsia="zh-CN"/>
              </w:rPr>
              <w:t xml:space="preserve"> </w:t>
            </w:r>
            <w:r>
              <w:rPr>
                <w:spacing w:val="-4"/>
                <w:lang w:eastAsia="zh-CN"/>
              </w:rPr>
              <w:t>要求的地方标准草案初稿（明</w:t>
            </w:r>
            <w:r>
              <w:rPr>
                <w:spacing w:val="-3"/>
                <w:lang w:eastAsia="zh-CN"/>
              </w:rPr>
              <w:t>确技术要求、相关术语、基本原则、编制内容</w:t>
            </w:r>
            <w:r>
              <w:rPr>
                <w:spacing w:val="-9"/>
                <w:lang w:eastAsia="zh-CN"/>
              </w:rPr>
              <w:t>）；</w:t>
            </w:r>
            <w:r>
              <w:rPr>
                <w:spacing w:val="-3"/>
                <w:lang w:eastAsia="zh-CN"/>
              </w:rPr>
              <w:t>准备立项所需全套材料</w:t>
            </w:r>
            <w:r>
              <w:rPr>
                <w:rFonts w:hint="eastAsia"/>
                <w:spacing w:val="-3"/>
                <w:lang w:eastAsia="zh-CN"/>
              </w:rPr>
              <w:t>（</w:t>
            </w:r>
            <w:r>
              <w:rPr>
                <w:spacing w:val="-3"/>
                <w:lang w:eastAsia="zh-CN"/>
              </w:rPr>
              <w:t>立项申请推荐函、年度立项项目汇</w:t>
            </w:r>
            <w:r>
              <w:rPr>
                <w:spacing w:val="-4"/>
                <w:lang w:eastAsia="zh-CN"/>
              </w:rPr>
              <w:t>总表、相关行业主管部门意见（如需）、地方标准查新情况报告</w:t>
            </w:r>
            <w:r>
              <w:rPr>
                <w:rFonts w:hint="eastAsia"/>
                <w:spacing w:val="-3"/>
                <w:lang w:eastAsia="zh-CN"/>
              </w:rPr>
              <w:t>）</w:t>
            </w:r>
            <w:r>
              <w:rPr>
                <w:spacing w:val="-4"/>
                <w:lang w:eastAsia="zh-CN"/>
              </w:rPr>
              <w:t>；组织领域资深</w:t>
            </w:r>
            <w:r>
              <w:rPr>
                <w:spacing w:val="-3"/>
                <w:lang w:eastAsia="zh-CN"/>
              </w:rPr>
              <w:t>专家进行立项论证会，评估标准的可行性、</w:t>
            </w:r>
            <w:r>
              <w:rPr>
                <w:spacing w:val="-4"/>
                <w:lang w:eastAsia="zh-CN"/>
              </w:rPr>
              <w:t>科学性和社会效益</w:t>
            </w:r>
            <w:r>
              <w:rPr>
                <w:rFonts w:hint="eastAsia"/>
                <w:spacing w:val="-4"/>
                <w:lang w:eastAsia="zh-CN"/>
              </w:rPr>
              <w:t>等）</w:t>
            </w:r>
          </w:p>
          <w:p w14:paraId="02B2B1BA">
            <w:pPr>
              <w:pStyle w:val="44"/>
              <w:spacing w:after="40" w:line="320" w:lineRule="auto"/>
              <w:ind w:left="113" w:right="102" w:firstLine="420"/>
              <w:rPr>
                <w:spacing w:val="-4"/>
                <w:lang w:eastAsia="zh-CN"/>
              </w:rPr>
            </w:pPr>
            <w:r>
              <w:rPr>
                <w:rFonts w:hint="eastAsia"/>
                <w:spacing w:val="-4"/>
                <w:lang w:eastAsia="zh-CN"/>
              </w:rPr>
              <w:t>2.完善标准草案</w:t>
            </w:r>
          </w:p>
          <w:p w14:paraId="651335E4">
            <w:pPr>
              <w:pStyle w:val="44"/>
              <w:spacing w:after="40" w:line="320" w:lineRule="auto"/>
              <w:ind w:left="113" w:right="102" w:firstLine="420"/>
              <w:rPr>
                <w:spacing w:val="-4"/>
                <w:lang w:eastAsia="zh-CN"/>
              </w:rPr>
            </w:pPr>
            <w:r>
              <w:rPr>
                <w:rFonts w:hint="eastAsia"/>
                <w:spacing w:val="-4"/>
                <w:lang w:eastAsia="zh-CN"/>
              </w:rPr>
              <w:t>按照GB/T 1.1-2020要求完善广西地方标准《XX》（草案），比对现行国家标准、行业标准和广西地方标准，结合采购人提供的现有研究技术成果修改完善标准草案，并指导甲方开展试验验证，配合采购人开展实地调研。</w:t>
            </w:r>
          </w:p>
          <w:p w14:paraId="02640FD5">
            <w:pPr>
              <w:pStyle w:val="44"/>
              <w:spacing w:after="40" w:line="320" w:lineRule="auto"/>
              <w:ind w:left="113" w:right="102" w:firstLine="420"/>
              <w:rPr>
                <w:spacing w:val="-4"/>
                <w:lang w:eastAsia="zh-CN"/>
              </w:rPr>
            </w:pPr>
            <w:r>
              <w:rPr>
                <w:rFonts w:hint="eastAsia"/>
                <w:spacing w:val="-4"/>
                <w:lang w:eastAsia="zh-CN"/>
              </w:rPr>
              <w:t>3.征求意见</w:t>
            </w:r>
          </w:p>
          <w:p w14:paraId="21DC9B3E">
            <w:pPr>
              <w:pStyle w:val="44"/>
              <w:spacing w:after="40" w:line="320" w:lineRule="auto"/>
              <w:ind w:left="113" w:right="102" w:firstLine="420"/>
              <w:rPr>
                <w:spacing w:val="-4"/>
                <w:lang w:eastAsia="zh-CN"/>
              </w:rPr>
            </w:pPr>
            <w:r>
              <w:rPr>
                <w:rFonts w:hint="eastAsia"/>
                <w:spacing w:val="-4"/>
                <w:lang w:eastAsia="zh-CN"/>
              </w:rPr>
              <w:t>按照自治区市场监督管理局要求，编制完成广西地方标准的征求意见稿和征求意见稿编制说明，并提供征求意见程序方面的技术指导。向涉及该标准领域的7位全区权威专家征求意见，并支付专家征求意见费。</w:t>
            </w:r>
          </w:p>
          <w:p w14:paraId="787F8726">
            <w:pPr>
              <w:pStyle w:val="44"/>
              <w:spacing w:after="40" w:line="320" w:lineRule="auto"/>
              <w:ind w:left="113" w:right="102" w:firstLine="420"/>
              <w:rPr>
                <w:spacing w:val="-4"/>
                <w:lang w:eastAsia="zh-CN"/>
              </w:rPr>
            </w:pPr>
            <w:r>
              <w:rPr>
                <w:rFonts w:hint="eastAsia"/>
                <w:spacing w:val="-4"/>
                <w:lang w:eastAsia="zh-CN"/>
              </w:rPr>
              <w:t>4.预审</w:t>
            </w:r>
          </w:p>
          <w:p w14:paraId="45A720C1">
            <w:pPr>
              <w:pStyle w:val="44"/>
              <w:spacing w:after="40" w:line="320" w:lineRule="auto"/>
              <w:ind w:left="113" w:right="102" w:firstLine="420"/>
              <w:rPr>
                <w:spacing w:val="-4"/>
                <w:lang w:eastAsia="zh-CN"/>
              </w:rPr>
            </w:pPr>
            <w:r>
              <w:rPr>
                <w:rFonts w:hint="eastAsia"/>
                <w:spacing w:val="-4"/>
                <w:lang w:eastAsia="zh-CN"/>
              </w:rPr>
              <w:t>按照广西地方标准管理办法（试行）要求，编制完成广西地方标准（预审稿）、（预审稿）编制说明、征求意见处理汇总表，提供预审环节程序方面的技术指导，并派1个负责人和1-2个技术人员参加标准预审会，做好预审工作（包括预审会PPT制作和汇报、预审会材料的打印、会场的预订、会场的布置、场地费和预审会专家费用</w:t>
            </w:r>
            <w:bookmarkStart w:id="0" w:name="_GoBack"/>
            <w:r>
              <w:rPr>
                <w:rFonts w:hint="eastAsia"/>
                <w:spacing w:val="-4"/>
                <w:lang w:eastAsia="zh-CN"/>
              </w:rPr>
              <w:t>）</w:t>
            </w:r>
            <w:bookmarkEnd w:id="0"/>
            <w:r>
              <w:rPr>
                <w:rFonts w:hint="eastAsia"/>
                <w:spacing w:val="-4"/>
                <w:lang w:eastAsia="zh-CN"/>
              </w:rPr>
              <w:t>。</w:t>
            </w:r>
          </w:p>
          <w:p w14:paraId="47DD1811">
            <w:pPr>
              <w:pStyle w:val="44"/>
              <w:spacing w:after="40" w:line="320" w:lineRule="auto"/>
              <w:ind w:left="113" w:right="102" w:firstLine="420"/>
              <w:rPr>
                <w:spacing w:val="-4"/>
                <w:lang w:eastAsia="zh-CN"/>
              </w:rPr>
            </w:pPr>
            <w:r>
              <w:rPr>
                <w:rFonts w:hint="eastAsia"/>
                <w:spacing w:val="-4"/>
                <w:lang w:eastAsia="zh-CN"/>
              </w:rPr>
              <w:t>5.技术审查</w:t>
            </w:r>
          </w:p>
          <w:p w14:paraId="732255CB">
            <w:pPr>
              <w:pStyle w:val="44"/>
              <w:spacing w:after="40" w:line="320" w:lineRule="auto"/>
              <w:ind w:left="113" w:right="102" w:firstLine="420"/>
              <w:rPr>
                <w:spacing w:val="-4"/>
                <w:lang w:eastAsia="zh-CN"/>
              </w:rPr>
            </w:pPr>
            <w:r>
              <w:rPr>
                <w:rFonts w:hint="eastAsia"/>
                <w:spacing w:val="-4"/>
                <w:lang w:eastAsia="zh-CN"/>
              </w:rPr>
              <w:t>按照自治区市场监督管理局要求，编制完成广西地方标准送审稿、送审稿编制说明、征求意见处理汇总表，提供送审环节程序方面的技术指导，并派1个负责人和1-2个技术人员参加标准审定会，做好审定工作（包括审定会PPT制作和汇报、审定会材料的打印、会场的预订、会场的布置、场地费和审定会专家费用）。</w:t>
            </w:r>
          </w:p>
          <w:p w14:paraId="731CEEEA">
            <w:pPr>
              <w:pStyle w:val="44"/>
              <w:spacing w:after="40" w:line="320" w:lineRule="auto"/>
              <w:ind w:left="113" w:right="102" w:firstLine="420"/>
              <w:rPr>
                <w:spacing w:val="-4"/>
                <w:lang w:eastAsia="zh-CN"/>
              </w:rPr>
            </w:pPr>
            <w:r>
              <w:rPr>
                <w:rFonts w:hint="eastAsia"/>
                <w:spacing w:val="-4"/>
                <w:lang w:eastAsia="zh-CN"/>
              </w:rPr>
              <w:t>6.报批发布</w:t>
            </w:r>
          </w:p>
          <w:p w14:paraId="2FC04B2D">
            <w:pPr>
              <w:pStyle w:val="44"/>
              <w:spacing w:after="40" w:line="320" w:lineRule="auto"/>
              <w:ind w:left="113" w:right="102" w:firstLine="420"/>
              <w:rPr>
                <w:spacing w:val="-4"/>
                <w:lang w:eastAsia="zh-CN"/>
              </w:rPr>
            </w:pPr>
            <w:r>
              <w:rPr>
                <w:rFonts w:hint="eastAsia"/>
                <w:spacing w:val="-4"/>
                <w:lang w:eastAsia="zh-CN"/>
              </w:rPr>
              <w:t>按照自治区市场监督管理局要求提供《地方标准报批发布表》及广西地方标准的报批稿、报批稿的编制说明、审定会会议纪要、审定会专家意见处理汇总表、标准审定意见、审定会专家签名表、征求意见处理汇总表一式三份，并提供报批环节程序技术指导。</w:t>
            </w:r>
          </w:p>
          <w:p w14:paraId="49AB27F7">
            <w:pPr>
              <w:pStyle w:val="44"/>
              <w:spacing w:after="40" w:line="320" w:lineRule="auto"/>
              <w:ind w:left="113" w:right="102" w:firstLine="420"/>
              <w:rPr>
                <w:spacing w:val="-4"/>
                <w:lang w:eastAsia="zh-CN"/>
              </w:rPr>
            </w:pPr>
            <w:r>
              <w:rPr>
                <w:rFonts w:hint="eastAsia"/>
                <w:spacing w:val="-4"/>
                <w:lang w:eastAsia="zh-CN"/>
              </w:rPr>
              <w:t>7.宣贯</w:t>
            </w:r>
          </w:p>
          <w:p w14:paraId="4BB3B87A">
            <w:pPr>
              <w:pStyle w:val="44"/>
              <w:spacing w:after="40" w:line="320" w:lineRule="auto"/>
              <w:ind w:left="113" w:right="102" w:firstLine="420"/>
              <w:rPr>
                <w:spacing w:val="-4"/>
                <w:lang w:eastAsia="zh-CN"/>
              </w:rPr>
            </w:pPr>
            <w:r>
              <w:rPr>
                <w:rFonts w:hint="eastAsia"/>
                <w:spacing w:val="-4"/>
                <w:lang w:eastAsia="zh-CN"/>
              </w:rPr>
              <w:t>标准发布实施后，协助制定标准宣贯实施计划及协助开展标准相关内容的宣贯培训活动。</w:t>
            </w:r>
          </w:p>
        </w:tc>
      </w:tr>
    </w:tbl>
    <w:p w14:paraId="4FAE60C3">
      <w:pPr>
        <w:pStyle w:val="12"/>
        <w:spacing w:after="0" w:line="20" w:lineRule="exact"/>
        <w:ind w:firstLine="0" w:firstLineChars="0"/>
        <w:rPr>
          <w:rFonts w:ascii="仿宋" w:hAnsi="仿宋" w:eastAsia="仿宋" w:cs="仿宋"/>
          <w:szCs w:val="32"/>
        </w:rPr>
      </w:pPr>
    </w:p>
    <w:sectPr>
      <w:pgSz w:w="11906" w:h="16838"/>
      <w:pgMar w:top="1247" w:right="1417" w:bottom="124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1C8FC6E-3335-46D8-86BD-C1646229BEC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embedRegular r:id="rId2" w:fontKey="{6E9A32B9-D97D-4770-AE92-84BD2580061A}"/>
  </w:font>
  <w:font w:name="仿宋">
    <w:panose1 w:val="02010609060101010101"/>
    <w:charset w:val="86"/>
    <w:family w:val="modern"/>
    <w:pitch w:val="default"/>
    <w:sig w:usb0="800002BF" w:usb1="38CF7CFA" w:usb2="00000016" w:usb3="00000000" w:csb0="00040001" w:csb1="00000000"/>
    <w:embedRegular r:id="rId3" w:fontKey="{8C10C0D2-7C34-4B10-98FB-352150278F0C}"/>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0NjgwOWJiYmZkMjQ3NjI5Y2JmYjFjMmI4MWIxYTMifQ=="/>
  </w:docVars>
  <w:rsids>
    <w:rsidRoot w:val="00D36C86"/>
    <w:rsid w:val="000421ED"/>
    <w:rsid w:val="000E6D37"/>
    <w:rsid w:val="00102793"/>
    <w:rsid w:val="00143E8F"/>
    <w:rsid w:val="00205B7D"/>
    <w:rsid w:val="002F2E59"/>
    <w:rsid w:val="003339E4"/>
    <w:rsid w:val="003A6517"/>
    <w:rsid w:val="003F3602"/>
    <w:rsid w:val="004136BB"/>
    <w:rsid w:val="00453B86"/>
    <w:rsid w:val="004C4D1A"/>
    <w:rsid w:val="005673EA"/>
    <w:rsid w:val="005C666F"/>
    <w:rsid w:val="006335B5"/>
    <w:rsid w:val="0074011D"/>
    <w:rsid w:val="00754036"/>
    <w:rsid w:val="007E2FAC"/>
    <w:rsid w:val="008B0221"/>
    <w:rsid w:val="008B19D1"/>
    <w:rsid w:val="00955B23"/>
    <w:rsid w:val="00A511F5"/>
    <w:rsid w:val="00AC28C0"/>
    <w:rsid w:val="00AC623A"/>
    <w:rsid w:val="00B26964"/>
    <w:rsid w:val="00BC5CCC"/>
    <w:rsid w:val="00C037AC"/>
    <w:rsid w:val="00C45698"/>
    <w:rsid w:val="00C768A7"/>
    <w:rsid w:val="00C8452A"/>
    <w:rsid w:val="00D36C86"/>
    <w:rsid w:val="00D70859"/>
    <w:rsid w:val="00D9480F"/>
    <w:rsid w:val="00E01215"/>
    <w:rsid w:val="00E521F4"/>
    <w:rsid w:val="00E56998"/>
    <w:rsid w:val="00F66BC8"/>
    <w:rsid w:val="00FF6950"/>
    <w:rsid w:val="025901E7"/>
    <w:rsid w:val="07916368"/>
    <w:rsid w:val="07E321F6"/>
    <w:rsid w:val="0C6413AE"/>
    <w:rsid w:val="0DD556CD"/>
    <w:rsid w:val="119F387D"/>
    <w:rsid w:val="1369184B"/>
    <w:rsid w:val="14EA0EEC"/>
    <w:rsid w:val="1540755E"/>
    <w:rsid w:val="19506866"/>
    <w:rsid w:val="197C5CF1"/>
    <w:rsid w:val="1A3A6DF7"/>
    <w:rsid w:val="1AF778C7"/>
    <w:rsid w:val="214300FC"/>
    <w:rsid w:val="242B76EC"/>
    <w:rsid w:val="25C63F05"/>
    <w:rsid w:val="28B642C5"/>
    <w:rsid w:val="321A4B33"/>
    <w:rsid w:val="33666962"/>
    <w:rsid w:val="37AB38CA"/>
    <w:rsid w:val="3AA9472F"/>
    <w:rsid w:val="3B7330C1"/>
    <w:rsid w:val="3D091FB1"/>
    <w:rsid w:val="44620A25"/>
    <w:rsid w:val="46126587"/>
    <w:rsid w:val="462547B0"/>
    <w:rsid w:val="4A033FEF"/>
    <w:rsid w:val="4B4A513F"/>
    <w:rsid w:val="4F967FBC"/>
    <w:rsid w:val="52983BC9"/>
    <w:rsid w:val="552349BA"/>
    <w:rsid w:val="57E919B3"/>
    <w:rsid w:val="5E2E6A5D"/>
    <w:rsid w:val="612A5E5E"/>
    <w:rsid w:val="6AA56830"/>
    <w:rsid w:val="6AFD14AA"/>
    <w:rsid w:val="6DDA3DCA"/>
    <w:rsid w:val="6FF670A4"/>
    <w:rsid w:val="73DD3DF8"/>
    <w:rsid w:val="73E64D5A"/>
    <w:rsid w:val="74E97204"/>
    <w:rsid w:val="75520584"/>
    <w:rsid w:val="75A51D92"/>
    <w:rsid w:val="76514429"/>
    <w:rsid w:val="7A440A39"/>
    <w:rsid w:val="7ADC2288"/>
    <w:rsid w:val="7EC14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25"/>
    <w:autoRedefine/>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6"/>
    <w:autoRedefine/>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4"/>
    <w:autoRedefine/>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7"/>
    <w:autoRedefine/>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8"/>
    <w:autoRedefine/>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9"/>
    <w:autoRedefine/>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30"/>
    <w:autoRedefine/>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1"/>
    <w:autoRedefine/>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2"/>
    <w:autoRedefine/>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7"/>
    <w:semiHidden/>
    <w:unhideWhenUsed/>
    <w:qFormat/>
    <w:uiPriority w:val="99"/>
  </w:style>
  <w:style w:type="paragraph" w:styleId="12">
    <w:name w:val="Body Text"/>
    <w:basedOn w:val="1"/>
    <w:qFormat/>
    <w:uiPriority w:val="0"/>
    <w:pPr>
      <w:adjustRightInd w:val="0"/>
      <w:spacing w:line="360" w:lineRule="exact"/>
      <w:ind w:firstLine="200" w:firstLineChars="200"/>
    </w:pPr>
    <w:rPr>
      <w:rFonts w:eastAsia="仿宋_GB2312"/>
      <w:sz w:val="32"/>
      <w:szCs w:val="22"/>
    </w:rPr>
  </w:style>
  <w:style w:type="paragraph" w:styleId="13">
    <w:name w:val="Balloon Text"/>
    <w:basedOn w:val="1"/>
    <w:link w:val="46"/>
    <w:semiHidden/>
    <w:unhideWhenUsed/>
    <w:qFormat/>
    <w:uiPriority w:val="99"/>
    <w:pPr>
      <w:spacing w:after="0" w:line="240" w:lineRule="auto"/>
    </w:pPr>
    <w:rPr>
      <w:sz w:val="18"/>
      <w:szCs w:val="18"/>
    </w:rPr>
  </w:style>
  <w:style w:type="paragraph" w:styleId="14">
    <w:name w:val="footer"/>
    <w:basedOn w:val="1"/>
    <w:link w:val="43"/>
    <w:autoRedefine/>
    <w:unhideWhenUsed/>
    <w:qFormat/>
    <w:uiPriority w:val="99"/>
    <w:pPr>
      <w:tabs>
        <w:tab w:val="center" w:pos="4153"/>
        <w:tab w:val="right" w:pos="8306"/>
      </w:tabs>
      <w:snapToGrid w:val="0"/>
      <w:spacing w:line="240" w:lineRule="auto"/>
    </w:pPr>
    <w:rPr>
      <w:sz w:val="18"/>
      <w:szCs w:val="18"/>
    </w:rPr>
  </w:style>
  <w:style w:type="paragraph" w:styleId="15">
    <w:name w:val="header"/>
    <w:basedOn w:val="1"/>
    <w:link w:val="42"/>
    <w:autoRedefine/>
    <w:unhideWhenUsed/>
    <w:qFormat/>
    <w:uiPriority w:val="99"/>
    <w:pPr>
      <w:tabs>
        <w:tab w:val="center" w:pos="4153"/>
        <w:tab w:val="right" w:pos="8306"/>
      </w:tabs>
      <w:snapToGrid w:val="0"/>
      <w:spacing w:line="240" w:lineRule="auto"/>
      <w:jc w:val="center"/>
    </w:pPr>
    <w:rPr>
      <w:sz w:val="18"/>
      <w:szCs w:val="18"/>
    </w:rPr>
  </w:style>
  <w:style w:type="paragraph" w:styleId="16">
    <w:name w:val="Subtitle"/>
    <w:basedOn w:val="1"/>
    <w:next w:val="1"/>
    <w:link w:val="34"/>
    <w:autoRedefine/>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Title"/>
    <w:basedOn w:val="1"/>
    <w:next w:val="1"/>
    <w:link w:val="33"/>
    <w:autoRedefine/>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18">
    <w:name w:val="annotation subject"/>
    <w:basedOn w:val="11"/>
    <w:next w:val="11"/>
    <w:link w:val="48"/>
    <w:semiHidden/>
    <w:unhideWhenUsed/>
    <w:qFormat/>
    <w:uiPriority w:val="99"/>
    <w:rPr>
      <w:b/>
      <w:bCs/>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annotation reference"/>
    <w:basedOn w:val="21"/>
    <w:semiHidden/>
    <w:unhideWhenUsed/>
    <w:qFormat/>
    <w:uiPriority w:val="99"/>
    <w:rPr>
      <w:sz w:val="21"/>
      <w:szCs w:val="21"/>
    </w:rPr>
  </w:style>
  <w:style w:type="paragraph" w:customStyle="1" w:styleId="23">
    <w:name w:val="表格文字"/>
    <w:basedOn w:val="1"/>
    <w:next w:val="12"/>
    <w:qFormat/>
    <w:uiPriority w:val="0"/>
    <w:pPr>
      <w:spacing w:before="25" w:after="25"/>
    </w:pPr>
    <w:rPr>
      <w:bCs/>
      <w:spacing w:val="10"/>
      <w:kern w:val="0"/>
      <w:sz w:val="24"/>
      <w:szCs w:val="20"/>
    </w:rPr>
  </w:style>
  <w:style w:type="character" w:customStyle="1" w:styleId="24">
    <w:name w:val="标题 3 字符"/>
    <w:basedOn w:val="21"/>
    <w:link w:val="4"/>
    <w:autoRedefine/>
    <w:semiHidden/>
    <w:qFormat/>
    <w:uiPriority w:val="9"/>
    <w:rPr>
      <w:rFonts w:asciiTheme="majorHAnsi" w:hAnsiTheme="majorHAnsi" w:eastAsiaTheme="majorEastAsia" w:cstheme="majorBidi"/>
      <w:color w:val="104862" w:themeColor="accent1" w:themeShade="BF"/>
      <w:sz w:val="32"/>
      <w:szCs w:val="32"/>
    </w:rPr>
  </w:style>
  <w:style w:type="character" w:customStyle="1" w:styleId="25">
    <w:name w:val="标题 1 字符"/>
    <w:basedOn w:val="21"/>
    <w:link w:val="2"/>
    <w:autoRedefine/>
    <w:qFormat/>
    <w:uiPriority w:val="9"/>
    <w:rPr>
      <w:rFonts w:asciiTheme="majorHAnsi" w:hAnsiTheme="majorHAnsi" w:eastAsiaTheme="majorEastAsia" w:cstheme="majorBidi"/>
      <w:color w:val="104862" w:themeColor="accent1" w:themeShade="BF"/>
      <w:sz w:val="48"/>
      <w:szCs w:val="48"/>
    </w:rPr>
  </w:style>
  <w:style w:type="character" w:customStyle="1" w:styleId="26">
    <w:name w:val="标题 2 字符"/>
    <w:basedOn w:val="21"/>
    <w:link w:val="3"/>
    <w:autoRedefine/>
    <w:semiHidden/>
    <w:qFormat/>
    <w:uiPriority w:val="9"/>
    <w:rPr>
      <w:rFonts w:asciiTheme="majorHAnsi" w:hAnsiTheme="majorHAnsi" w:eastAsiaTheme="majorEastAsia" w:cstheme="majorBidi"/>
      <w:color w:val="104862" w:themeColor="accent1" w:themeShade="BF"/>
      <w:sz w:val="40"/>
      <w:szCs w:val="40"/>
    </w:rPr>
  </w:style>
  <w:style w:type="character" w:customStyle="1" w:styleId="27">
    <w:name w:val="标题 4 字符"/>
    <w:basedOn w:val="21"/>
    <w:link w:val="5"/>
    <w:autoRedefine/>
    <w:semiHidden/>
    <w:qFormat/>
    <w:uiPriority w:val="9"/>
    <w:rPr>
      <w:rFonts w:cstheme="majorBidi"/>
      <w:color w:val="104862" w:themeColor="accent1" w:themeShade="BF"/>
      <w:sz w:val="28"/>
      <w:szCs w:val="28"/>
    </w:rPr>
  </w:style>
  <w:style w:type="character" w:customStyle="1" w:styleId="28">
    <w:name w:val="标题 5 字符"/>
    <w:basedOn w:val="21"/>
    <w:link w:val="6"/>
    <w:autoRedefine/>
    <w:semiHidden/>
    <w:qFormat/>
    <w:uiPriority w:val="9"/>
    <w:rPr>
      <w:rFonts w:cstheme="majorBidi"/>
      <w:color w:val="104862" w:themeColor="accent1" w:themeShade="BF"/>
      <w:sz w:val="24"/>
    </w:rPr>
  </w:style>
  <w:style w:type="character" w:customStyle="1" w:styleId="29">
    <w:name w:val="标题 6 字符"/>
    <w:basedOn w:val="21"/>
    <w:link w:val="7"/>
    <w:autoRedefine/>
    <w:semiHidden/>
    <w:qFormat/>
    <w:uiPriority w:val="9"/>
    <w:rPr>
      <w:rFonts w:cstheme="majorBidi"/>
      <w:b/>
      <w:bCs/>
      <w:color w:val="104862" w:themeColor="accent1" w:themeShade="BF"/>
    </w:rPr>
  </w:style>
  <w:style w:type="character" w:customStyle="1" w:styleId="30">
    <w:name w:val="标题 7 字符"/>
    <w:basedOn w:val="21"/>
    <w:link w:val="8"/>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1">
    <w:name w:val="标题 8 字符"/>
    <w:basedOn w:val="21"/>
    <w:link w:val="9"/>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2">
    <w:name w:val="标题 9 字符"/>
    <w:basedOn w:val="21"/>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3">
    <w:name w:val="标题 字符"/>
    <w:basedOn w:val="21"/>
    <w:link w:val="17"/>
    <w:autoRedefine/>
    <w:qFormat/>
    <w:uiPriority w:val="10"/>
    <w:rPr>
      <w:rFonts w:asciiTheme="majorHAnsi" w:hAnsiTheme="majorHAnsi" w:eastAsiaTheme="majorEastAsia" w:cstheme="majorBidi"/>
      <w:spacing w:val="-10"/>
      <w:kern w:val="28"/>
      <w:sz w:val="56"/>
      <w:szCs w:val="56"/>
    </w:rPr>
  </w:style>
  <w:style w:type="character" w:customStyle="1" w:styleId="34">
    <w:name w:val="副标题 字符"/>
    <w:basedOn w:val="21"/>
    <w:link w:val="16"/>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5">
    <w:name w:val="Quote"/>
    <w:basedOn w:val="1"/>
    <w:next w:val="1"/>
    <w:link w:val="36"/>
    <w:autoRedefine/>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6">
    <w:name w:val="引用 字符"/>
    <w:basedOn w:val="21"/>
    <w:link w:val="35"/>
    <w:autoRedefine/>
    <w:qFormat/>
    <w:uiPriority w:val="29"/>
    <w:rPr>
      <w:i/>
      <w:iCs/>
      <w:color w:val="404040" w:themeColor="text1" w:themeTint="BF"/>
      <w14:textFill>
        <w14:solidFill>
          <w14:schemeClr w14:val="tx1">
            <w14:lumMod w14:val="75000"/>
            <w14:lumOff w14:val="25000"/>
          </w14:schemeClr>
        </w14:solidFill>
      </w14:textFill>
    </w:rPr>
  </w:style>
  <w:style w:type="paragraph" w:styleId="37">
    <w:name w:val="List Paragraph"/>
    <w:basedOn w:val="1"/>
    <w:autoRedefine/>
    <w:qFormat/>
    <w:uiPriority w:val="34"/>
    <w:pPr>
      <w:ind w:left="720"/>
      <w:contextualSpacing/>
    </w:pPr>
  </w:style>
  <w:style w:type="character" w:customStyle="1" w:styleId="38">
    <w:name w:val="明显强调1"/>
    <w:basedOn w:val="21"/>
    <w:autoRedefine/>
    <w:qFormat/>
    <w:uiPriority w:val="21"/>
    <w:rPr>
      <w:i/>
      <w:iCs/>
      <w:color w:val="104862" w:themeColor="accent1" w:themeShade="BF"/>
    </w:rPr>
  </w:style>
  <w:style w:type="paragraph" w:styleId="39">
    <w:name w:val="Intense Quote"/>
    <w:basedOn w:val="1"/>
    <w:next w:val="1"/>
    <w:link w:val="40"/>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0">
    <w:name w:val="明显引用 字符"/>
    <w:basedOn w:val="21"/>
    <w:link w:val="39"/>
    <w:autoRedefine/>
    <w:qFormat/>
    <w:uiPriority w:val="30"/>
    <w:rPr>
      <w:i/>
      <w:iCs/>
      <w:color w:val="104862" w:themeColor="accent1" w:themeShade="BF"/>
    </w:rPr>
  </w:style>
  <w:style w:type="character" w:customStyle="1" w:styleId="41">
    <w:name w:val="明显参考1"/>
    <w:basedOn w:val="21"/>
    <w:autoRedefine/>
    <w:qFormat/>
    <w:uiPriority w:val="32"/>
    <w:rPr>
      <w:b/>
      <w:bCs/>
      <w:smallCaps/>
      <w:color w:val="104862" w:themeColor="accent1" w:themeShade="BF"/>
      <w:spacing w:val="5"/>
    </w:rPr>
  </w:style>
  <w:style w:type="character" w:customStyle="1" w:styleId="42">
    <w:name w:val="页眉 字符"/>
    <w:basedOn w:val="21"/>
    <w:link w:val="15"/>
    <w:autoRedefine/>
    <w:qFormat/>
    <w:uiPriority w:val="99"/>
    <w:rPr>
      <w:sz w:val="18"/>
      <w:szCs w:val="18"/>
    </w:rPr>
  </w:style>
  <w:style w:type="character" w:customStyle="1" w:styleId="43">
    <w:name w:val="页脚 字符"/>
    <w:basedOn w:val="21"/>
    <w:link w:val="14"/>
    <w:autoRedefine/>
    <w:qFormat/>
    <w:uiPriority w:val="99"/>
    <w:rPr>
      <w:sz w:val="18"/>
      <w:szCs w:val="18"/>
    </w:rPr>
  </w:style>
  <w:style w:type="paragraph" w:customStyle="1" w:styleId="44">
    <w:name w:val="Table Text"/>
    <w:basedOn w:val="1"/>
    <w:semiHidden/>
    <w:qFormat/>
    <w:uiPriority w:val="0"/>
    <w:rPr>
      <w:rFonts w:ascii="宋体" w:hAnsi="宋体" w:eastAsia="宋体" w:cs="宋体"/>
      <w:sz w:val="21"/>
      <w:szCs w:val="21"/>
      <w:lang w:eastAsia="en-US"/>
    </w:rPr>
  </w:style>
  <w:style w:type="table" w:customStyle="1" w:styleId="45">
    <w:name w:val="Table Normal"/>
    <w:semiHidden/>
    <w:unhideWhenUsed/>
    <w:qFormat/>
    <w:uiPriority w:val="0"/>
    <w:tblPr>
      <w:tblCellMar>
        <w:top w:w="0" w:type="dxa"/>
        <w:left w:w="0" w:type="dxa"/>
        <w:bottom w:w="0" w:type="dxa"/>
        <w:right w:w="0" w:type="dxa"/>
      </w:tblCellMar>
    </w:tblPr>
  </w:style>
  <w:style w:type="character" w:customStyle="1" w:styleId="46">
    <w:name w:val="批注框文本 字符"/>
    <w:basedOn w:val="21"/>
    <w:link w:val="13"/>
    <w:semiHidden/>
    <w:qFormat/>
    <w:uiPriority w:val="99"/>
    <w:rPr>
      <w:rFonts w:asciiTheme="minorHAnsi" w:hAnsiTheme="minorHAnsi" w:eastAsiaTheme="minorEastAsia" w:cstheme="minorBidi"/>
      <w:kern w:val="2"/>
      <w:sz w:val="18"/>
      <w:szCs w:val="18"/>
      <w14:ligatures w14:val="standardContextual"/>
    </w:rPr>
  </w:style>
  <w:style w:type="character" w:customStyle="1" w:styleId="47">
    <w:name w:val="批注文字 字符"/>
    <w:basedOn w:val="21"/>
    <w:link w:val="11"/>
    <w:semiHidden/>
    <w:qFormat/>
    <w:uiPriority w:val="99"/>
    <w:rPr>
      <w:rFonts w:asciiTheme="minorHAnsi" w:hAnsiTheme="minorHAnsi" w:eastAsiaTheme="minorEastAsia" w:cstheme="minorBidi"/>
      <w:kern w:val="2"/>
      <w:sz w:val="22"/>
      <w:szCs w:val="24"/>
      <w14:ligatures w14:val="standardContextual"/>
    </w:rPr>
  </w:style>
  <w:style w:type="character" w:customStyle="1" w:styleId="48">
    <w:name w:val="批注主题 字符"/>
    <w:basedOn w:val="47"/>
    <w:link w:val="18"/>
    <w:semiHidden/>
    <w:qFormat/>
    <w:uiPriority w:val="99"/>
    <w:rPr>
      <w:rFonts w:asciiTheme="minorHAnsi" w:hAnsiTheme="minorHAnsi" w:eastAsiaTheme="minorEastAsia" w:cstheme="minorBidi"/>
      <w:b/>
      <w:bCs/>
      <w:kern w:val="2"/>
      <w:sz w:val="22"/>
      <w:szCs w:val="24"/>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4</Pages>
  <Words>2900</Words>
  <Characters>3014</Characters>
  <Lines>22</Lines>
  <Paragraphs>6</Paragraphs>
  <TotalTime>1</TotalTime>
  <ScaleCrop>false</ScaleCrop>
  <LinksUpToDate>false</LinksUpToDate>
  <CharactersWithSpaces>3035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2025-06-23T00:38:00Z</dcterms:created>
  <dc:creator>min li</dc:creator>
  <cp:lastModifiedBy>我爱熊猫</cp:lastModifiedBy>
  <cp:lastPrinted>2025-06-23T01:06:00Z</cp:lastPrinted>
  <dcterms:modified xsi:type="dcterms:W3CDTF">2025-06-30T09:10:26Z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1796C2E4254C4AB4AE3C4E5F5C9109EA_13</vt:lpwstr>
  </property>
  <property fmtid="{D5CDD505-2E9C-101B-9397-08002B2CF9AE}" pid="4" name="KSOTemplateDocerSaveRecord">
    <vt:lpwstr>eyJoZGlkIjoiYzRlYzk2ZGE4ZTc3YmQ2YzUwOTE0NThjY2Q0NjA3YjEiLCJ1c2VySWQiOiIyMzc0MzQyMjEifQ==</vt:lpwstr>
  </property>
</Properties>
</file>