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auto"/>
        <w:jc w:val="center"/>
        <w:rPr>
          <w:rFonts w:hint="eastAsia" w:ascii="仿宋_GB2312" w:eastAsia="仿宋_GB2312"/>
          <w:b/>
          <w:bCs/>
          <w:sz w:val="48"/>
          <w:szCs w:val="48"/>
        </w:rPr>
      </w:pPr>
      <w:r>
        <w:rPr>
          <w:rFonts w:hint="eastAsia" w:ascii="仿宋_GB2312" w:eastAsia="仿宋_GB2312"/>
          <w:b/>
          <w:bCs/>
          <w:sz w:val="48"/>
          <w:szCs w:val="48"/>
          <w:lang w:val="en-US" w:eastAsia="zh-CN"/>
        </w:rPr>
        <w:t>中山大学附属第一医院广西医院</w:t>
      </w:r>
      <w:bookmarkStart w:id="0" w:name="_GoBack"/>
      <w:bookmarkEnd w:id="0"/>
      <w:r>
        <w:rPr>
          <w:rFonts w:hint="eastAsia" w:ascii="仿宋_GB2312" w:eastAsia="仿宋_GB2312"/>
          <w:b/>
          <w:bCs/>
          <w:sz w:val="48"/>
          <w:szCs w:val="48"/>
        </w:rPr>
        <w:t>疾控前置服务器参数需求</w:t>
      </w:r>
    </w:p>
    <w:p>
      <w:pPr>
        <w:spacing w:after="312" w:afterLines="100" w:line="480" w:lineRule="auto"/>
        <w:jc w:val="left"/>
        <w:rPr>
          <w:rFonts w:hint="eastAsia" w:ascii="仿宋_GB2312" w:eastAsia="黑体"/>
          <w:b/>
          <w:bCs/>
          <w:sz w:val="48"/>
          <w:szCs w:val="48"/>
          <w:lang w:eastAsia="zh-CN"/>
        </w:rPr>
      </w:pPr>
      <w:r>
        <w:rPr>
          <w:rFonts w:hint="eastAsia" w:ascii="黑体" w:hAnsi="黑体" w:eastAsia="黑体" w:cs="方正小标宋_GBK"/>
          <w:kern w:val="0"/>
          <w:sz w:val="28"/>
          <w:szCs w:val="28"/>
        </w:rPr>
        <w:t>标注“▲”的内容为必须满足项，否则为无效</w:t>
      </w:r>
      <w:r>
        <w:rPr>
          <w:rFonts w:hint="eastAsia" w:ascii="黑体" w:hAnsi="黑体" w:eastAsia="黑体" w:cs="方正小标宋_GBK"/>
          <w:kern w:val="0"/>
          <w:sz w:val="28"/>
          <w:szCs w:val="28"/>
          <w:lang w:val="en-US" w:eastAsia="zh-CN"/>
        </w:rPr>
        <w:t>响应</w:t>
      </w:r>
    </w:p>
    <w:tbl>
      <w:tblPr>
        <w:tblStyle w:val="6"/>
        <w:tblW w:w="15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465"/>
        <w:gridCol w:w="463"/>
        <w:gridCol w:w="463"/>
        <w:gridCol w:w="1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465" w:type="dxa"/>
            <w:shd w:val="clear" w:color="auto" w:fill="F1F1F1" w:themeFill="background1" w:themeFillShade="F2"/>
            <w:vAlign w:val="center"/>
          </w:tcPr>
          <w:p>
            <w:pPr>
              <w:widowControl/>
              <w:jc w:val="center"/>
              <w:rPr>
                <w:rFonts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序号</w:t>
            </w:r>
          </w:p>
        </w:tc>
        <w:tc>
          <w:tcPr>
            <w:tcW w:w="465" w:type="dxa"/>
            <w:shd w:val="clear" w:color="auto" w:fill="F1F1F1" w:themeFill="background1" w:themeFillShade="F2"/>
            <w:vAlign w:val="center"/>
          </w:tcPr>
          <w:p>
            <w:pPr>
              <w:widowControl/>
              <w:jc w:val="center"/>
              <w:rPr>
                <w:rFonts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设备名称</w:t>
            </w:r>
          </w:p>
        </w:tc>
        <w:tc>
          <w:tcPr>
            <w:tcW w:w="0" w:type="auto"/>
            <w:shd w:val="clear" w:color="auto" w:fill="F1F1F1" w:themeFill="background1" w:themeFillShade="F2"/>
            <w:vAlign w:val="center"/>
          </w:tcPr>
          <w:p>
            <w:pPr>
              <w:widowControl/>
              <w:jc w:val="center"/>
              <w:rPr>
                <w:rFonts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采购数量</w:t>
            </w:r>
          </w:p>
        </w:tc>
        <w:tc>
          <w:tcPr>
            <w:tcW w:w="0" w:type="auto"/>
            <w:shd w:val="clear" w:color="auto" w:fill="F1F1F1" w:themeFill="background1" w:themeFillShade="F2"/>
            <w:vAlign w:val="center"/>
          </w:tcPr>
          <w:p>
            <w:pPr>
              <w:widowControl/>
              <w:jc w:val="center"/>
              <w:rPr>
                <w:rFonts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计量单位</w:t>
            </w:r>
          </w:p>
        </w:tc>
        <w:tc>
          <w:tcPr>
            <w:tcW w:w="13282" w:type="dxa"/>
            <w:shd w:val="clear" w:color="auto" w:fill="F1F1F1" w:themeFill="background1" w:themeFillShade="F2"/>
            <w:vAlign w:val="center"/>
          </w:tcPr>
          <w:p>
            <w:pPr>
              <w:widowControl/>
              <w:jc w:val="center"/>
              <w:rPr>
                <w:rFonts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65" w:type="dxa"/>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1</w:t>
            </w:r>
          </w:p>
        </w:tc>
        <w:tc>
          <w:tcPr>
            <w:tcW w:w="465" w:type="dxa"/>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服务器</w:t>
            </w:r>
          </w:p>
        </w:tc>
        <w:tc>
          <w:tcPr>
            <w:tcW w:w="0" w:type="auto"/>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1</w:t>
            </w:r>
          </w:p>
        </w:tc>
        <w:tc>
          <w:tcPr>
            <w:tcW w:w="0" w:type="auto"/>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台</w:t>
            </w:r>
          </w:p>
        </w:tc>
        <w:tc>
          <w:tcPr>
            <w:tcW w:w="13282" w:type="dxa"/>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一、硬件规格：</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1、规格：2U的机架式服务器，可以放入42U标准机柜。</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2、处理器：配置≥2颗Kunpeng 920 5220 CPU@2.6GHZ（32C）。</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3、内存：配置≥</w:t>
            </w:r>
            <w:r>
              <w:rPr>
                <w:rFonts w:hint="eastAsia" w:ascii="仿宋_GB2312" w:hAnsi="宋体" w:eastAsia="仿宋_GB2312" w:cs="宋体"/>
                <w:color w:val="000000"/>
                <w:kern w:val="0"/>
                <w:szCs w:val="21"/>
                <w:lang w:val="en-US" w:eastAsia="zh-CN"/>
                <w14:ligatures w14:val="none"/>
              </w:rPr>
              <w:t>16</w:t>
            </w:r>
            <w:r>
              <w:rPr>
                <w:rFonts w:ascii="仿宋_GB2312" w:hAnsi="宋体" w:eastAsia="仿宋_GB2312" w:cs="宋体"/>
                <w:color w:val="000000"/>
                <w:kern w:val="0"/>
                <w:szCs w:val="21"/>
                <w14:ligatures w14:val="none"/>
              </w:rPr>
              <w:t>*32GB DDR4 3200内存；内存插槽数量≥16个，最大内存可扩展至1TB；具备内存回收机制，实现内存资源的动态复用，保障服务器的性能。</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4、硬盘：配置≥2块240GSSD系统盘、≥2块1.92TSSD缓存盘，支持热插拔SAS/SATA硬盘，兼容2.5英寸和3.5英寸硬盘，配备≥12个2.5/3.5寸硬盘槽；</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5、设备支持≥5个PCIe扩展插槽，配备≥4个GE端口和2个10GE端口；配置冗余电源。</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6、RAID功能：提供raid0/1/10并支持JBOD直通。</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7、包含免费1年硬件保修、软件升级。</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二、内置计算服务器虚拟化软件</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配置</w:t>
            </w:r>
            <w:r>
              <w:rPr>
                <w:rFonts w:ascii="仿宋_GB2312" w:hAnsi="宋体" w:eastAsia="仿宋_GB2312" w:cs="宋体"/>
                <w:color w:val="000000"/>
                <w:kern w:val="0"/>
                <w:szCs w:val="21"/>
                <w14:ligatures w14:val="none"/>
              </w:rPr>
              <w:t>2个物理CPU的计算服务器虚拟化软件授权，同时应满足以下需求：</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 xml:space="preserve">1、虚拟化软件非OEM或贴牌产品，采用分布式管理架构，去中心化，管理平台不依赖于某一个虚拟机或物理机部署，采用分布式架构保障平台更可靠，虚拟化软件应基于KVM开发，可维护性好，部署时无需绑定安装OpenStack相关组件 </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2、在超融合管理平台界面上提供虚拟机删除、开关机、挂起与恢复、重启、关闭、关闭电源、克隆、迁移、备份、模板导出、快照、标签管理等功能，并支持批量操作。</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3、可以支持扩展同一品牌的存储虚拟化、网络功能虚拟化、虚拟应用防火墙、日志审计、运维安全管理软件等功能组件的，并支持统一管理，以保障平台的扩展性和兼容性。（提供产品功能截图，并加盖</w:t>
            </w:r>
            <w:r>
              <w:rPr>
                <w:rFonts w:hint="eastAsia" w:ascii="仿宋_GB2312" w:hAnsi="宋体" w:eastAsia="仿宋_GB2312" w:cs="宋体"/>
                <w:color w:val="000000"/>
                <w:kern w:val="0"/>
                <w:szCs w:val="21"/>
                <w:lang w:eastAsia="zh-CN"/>
                <w14:ligatures w14:val="none"/>
              </w:rPr>
              <w:t>供应商</w:t>
            </w:r>
            <w:r>
              <w:rPr>
                <w:rFonts w:ascii="仿宋_GB2312" w:hAnsi="宋体" w:eastAsia="仿宋_GB2312" w:cs="宋体"/>
                <w:color w:val="000000"/>
                <w:kern w:val="0"/>
                <w:szCs w:val="21"/>
                <w14:ligatures w14:val="none"/>
              </w:rPr>
              <w:t>公章）</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4、支持UPS QoS（UPS联动），为尽可能保障数据中心断电场景下的业务，可在市电断电时通过UPS临时供应电量，当UPS电量过低时，按照虚拟机优先级先将不重要的虚拟机进行软关机。（提供产品功能截图，并加盖</w:t>
            </w:r>
            <w:r>
              <w:rPr>
                <w:rFonts w:hint="eastAsia" w:ascii="仿宋_GB2312" w:hAnsi="宋体" w:eastAsia="仿宋_GB2312" w:cs="宋体"/>
                <w:color w:val="000000"/>
                <w:kern w:val="0"/>
                <w:szCs w:val="21"/>
                <w:lang w:eastAsia="zh-CN"/>
                <w14:ligatures w14:val="none"/>
              </w:rPr>
              <w:t>供应商</w:t>
            </w:r>
            <w:r>
              <w:rPr>
                <w:rFonts w:ascii="仿宋_GB2312" w:hAnsi="宋体" w:eastAsia="仿宋_GB2312" w:cs="宋体"/>
                <w:color w:val="000000"/>
                <w:kern w:val="0"/>
                <w:szCs w:val="21"/>
                <w14:ligatures w14:val="none"/>
              </w:rPr>
              <w:t>公章）</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5、为避免主机假死导致系列问题发生，支持识别假死主机并标签化为亚健康主机，通过邮件或短信告警提醒用户进行处理，并限制重要业务在亚健康主机上运行，规避风险。（提供产品功能截图，并加盖</w:t>
            </w:r>
            <w:r>
              <w:rPr>
                <w:rFonts w:hint="eastAsia" w:ascii="仿宋_GB2312" w:hAnsi="宋体" w:eastAsia="仿宋_GB2312" w:cs="宋体"/>
                <w:color w:val="000000"/>
                <w:kern w:val="0"/>
                <w:szCs w:val="21"/>
                <w:lang w:eastAsia="zh-CN"/>
                <w14:ligatures w14:val="none"/>
              </w:rPr>
              <w:t>供应商</w:t>
            </w:r>
            <w:r>
              <w:rPr>
                <w:rFonts w:ascii="仿宋_GB2312" w:hAnsi="宋体" w:eastAsia="仿宋_GB2312" w:cs="宋体"/>
                <w:color w:val="000000"/>
                <w:kern w:val="0"/>
                <w:szCs w:val="21"/>
                <w14:ligatures w14:val="none"/>
              </w:rPr>
              <w:t>公章）</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6、支持漏洞及版本信息巡检，推送补丁及升级信息，并支持补丁管理、更新、回滚。</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7、虚拟机支持部署中标麒麟、银河麒麟、麒麟信安、深度Linux、统信UOS、openEuler、Anolis、TencentOS等操作系统。</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8、支持虚拟机的HA功能，当物理服务器发生故障时，该物理服务器上的所有虚拟机，可以在集群之内的其它物理服务器上重新启动，以保障业务连续性。</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9、支持无代理跨物理主机的虚拟机USB映射，需要使用USB KEY时，无需在虚拟机上安装客户端插件，且虚拟机迁移到其它物理主机后，仍能正常使用迁移前所在物理主机上的USB资源。</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10、为了更好的保护用户数据，虚拟化软件自带无代理备份功能，无需安装备份软件，支持设置定期全量备份、增量备份、差异备份，支持用户灵活配置备份策略，备份文件保留时间最高可以达到15年，支持将虚拟机的备份文件定期归档到第二存储。</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11、支持设置告警类型（紧急和普通）、告警内容（集群、主机、虚拟机、CPU、内存、磁盘），针对告警信息平台可自动给出告警处理建议，同时支持将告警信息以短信和邮件方式发送给管理员。</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12、提供基于PowerShell的CLI命令行功能，通过命令行可以进行管理计算虚拟化、存储虚拟化、网络虚拟化模块，通过PowerShell脚本可简化用户运维操作。（提供产品功能截图或命令行说明手册，并加盖</w:t>
            </w:r>
            <w:r>
              <w:rPr>
                <w:rFonts w:hint="eastAsia" w:ascii="仿宋_GB2312" w:hAnsi="宋体" w:eastAsia="仿宋_GB2312" w:cs="宋体"/>
                <w:color w:val="000000"/>
                <w:kern w:val="0"/>
                <w:szCs w:val="21"/>
                <w:lang w:eastAsia="zh-CN"/>
                <w14:ligatures w14:val="none"/>
              </w:rPr>
              <w:t>供应商</w:t>
            </w:r>
            <w:r>
              <w:rPr>
                <w:rFonts w:ascii="仿宋_GB2312" w:hAnsi="宋体" w:eastAsia="仿宋_GB2312" w:cs="宋体"/>
                <w:color w:val="000000"/>
                <w:kern w:val="0"/>
                <w:szCs w:val="21"/>
                <w14:ligatures w14:val="none"/>
              </w:rPr>
              <w:t>公章）</w:t>
            </w:r>
          </w:p>
          <w:p>
            <w:pPr>
              <w:widowControl/>
              <w:jc w:val="left"/>
              <w:rPr>
                <w:rFonts w:ascii="仿宋_GB2312" w:hAnsi="宋体" w:eastAsia="仿宋_GB2312" w:cs="宋体"/>
                <w:color w:val="000000"/>
                <w:kern w:val="0"/>
                <w:szCs w:val="21"/>
                <w14:ligatures w14:val="none"/>
              </w:rPr>
            </w:pPr>
            <w:r>
              <w:rPr>
                <w:rFonts w:ascii="仿宋_GB2312" w:hAnsi="宋体" w:eastAsia="仿宋_GB2312" w:cs="宋体"/>
                <w:color w:val="000000"/>
                <w:kern w:val="0"/>
                <w:szCs w:val="21"/>
                <w14:ligatures w14:val="none"/>
              </w:rPr>
              <w:t>13、支持点击还原按钮，还原回收站列表指定项，可恢复30天内已删除的虚拟机，可以查看回收站列表项信息，包括名称、描述、存储和删除时间和保留时间。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38" w:type="dxa"/>
            <w:gridSpan w:val="5"/>
            <w:shd w:val="clear" w:color="auto" w:fill="F1F1F1" w:themeFill="background1" w:themeFillShade="F2"/>
            <w:vAlign w:val="center"/>
          </w:tcPr>
          <w:p>
            <w:pPr>
              <w:widowControl/>
              <w:jc w:val="left"/>
              <w:rPr>
                <w:rFonts w:hint="eastAsia" w:ascii="仿宋_GB2312" w:hAnsi="宋体" w:eastAsia="仿宋_GB2312" w:cs="宋体"/>
                <w:b/>
                <w:bCs/>
                <w:color w:val="000000"/>
                <w:kern w:val="0"/>
                <w:szCs w:val="21"/>
                <w14:ligatures w14:val="none"/>
              </w:rPr>
            </w:pPr>
            <w:r>
              <w:rPr>
                <w:rFonts w:hint="eastAsia" w:ascii="仿宋_GB2312" w:hAnsi="宋体" w:eastAsia="仿宋_GB2312" w:cs="宋体"/>
                <w:b/>
                <w:bCs/>
                <w:color w:val="000000"/>
                <w:kern w:val="0"/>
                <w:szCs w:val="21"/>
                <w14:ligatures w14: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5138" w:type="dxa"/>
            <w:gridSpan w:val="5"/>
            <w:vAlign w:val="center"/>
          </w:tcPr>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1.本项目中的“具体参数”里的内容必须满足或优于，否则</w:t>
            </w:r>
            <w:r>
              <w:rPr>
                <w:rFonts w:hint="eastAsia" w:ascii="仿宋_GB2312" w:hAnsi="宋体" w:eastAsia="仿宋_GB2312" w:cs="宋体"/>
                <w:color w:val="000000"/>
                <w:kern w:val="0"/>
                <w:szCs w:val="21"/>
                <w:lang w:eastAsia="zh-CN"/>
                <w14:ligatures w14:val="none"/>
              </w:rPr>
              <w:t>响应</w:t>
            </w:r>
            <w:r>
              <w:rPr>
                <w:rFonts w:ascii="仿宋_GB2312" w:hAnsi="宋体" w:eastAsia="仿宋_GB2312" w:cs="宋体"/>
                <w:color w:val="000000"/>
                <w:kern w:val="0"/>
                <w:szCs w:val="21"/>
                <w14:ligatures w14:val="none"/>
              </w:rPr>
              <w:t>无效，并上报政府采购部门及追究其法律责任。</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2.交付时间：签订合同后7个工作日内必须全部供完货物及完成安装调试，本次采购的货物必须是全新未拆封的原包装产品。若供应商未按时交货，每迟一天，则按全部款项的千分之五支付违约金，以此类推。若有一件货物未按时到达，按未及时交货处理。</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3.售后服务：自交货并验收合格之日起计，提供</w:t>
            </w:r>
            <w:r>
              <w:rPr>
                <w:rFonts w:hint="eastAsia" w:ascii="仿宋_GB2312" w:hAnsi="宋体" w:eastAsia="仿宋_GB2312" w:cs="宋体"/>
                <w:color w:val="000000"/>
                <w:kern w:val="0"/>
                <w:szCs w:val="21"/>
                <w:lang w:val="en-US" w:eastAsia="zh-CN"/>
                <w14:ligatures w14:val="none"/>
              </w:rPr>
              <w:t>至少</w:t>
            </w:r>
            <w:r>
              <w:rPr>
                <w:rFonts w:ascii="仿宋_GB2312" w:hAnsi="宋体" w:eastAsia="仿宋_GB2312" w:cs="宋体"/>
                <w:color w:val="000000"/>
                <w:kern w:val="0"/>
                <w:szCs w:val="21"/>
                <w14:ligatures w14:val="none"/>
              </w:rPr>
              <w:t>3年服务器硬件维保；</w:t>
            </w:r>
            <w:r>
              <w:rPr>
                <w:rFonts w:hint="eastAsia" w:ascii="仿宋_GB2312" w:hAnsi="宋体" w:eastAsia="仿宋_GB2312" w:cs="宋体"/>
                <w:color w:val="000000"/>
                <w:kern w:val="0"/>
                <w:szCs w:val="21"/>
                <w:lang w:eastAsia="zh-CN"/>
                <w14:ligatures w14:val="none"/>
              </w:rPr>
              <w:t>响应</w:t>
            </w:r>
            <w:r>
              <w:rPr>
                <w:rFonts w:ascii="仿宋_GB2312" w:hAnsi="宋体" w:eastAsia="仿宋_GB2312" w:cs="宋体"/>
                <w:color w:val="000000"/>
                <w:kern w:val="0"/>
                <w:szCs w:val="21"/>
                <w14:ligatures w14:val="none"/>
              </w:rPr>
              <w:t>时必须提供产品制造厂商针对本项目的</w:t>
            </w:r>
            <w:r>
              <w:rPr>
                <w:rFonts w:hint="eastAsia" w:ascii="仿宋_GB2312" w:hAnsi="宋体" w:eastAsia="仿宋_GB2312" w:cs="宋体"/>
                <w:color w:val="000000"/>
                <w:kern w:val="0"/>
                <w:szCs w:val="21"/>
                <w:lang w:eastAsia="zh-CN"/>
                <w14:ligatures w14:val="none"/>
              </w:rPr>
              <w:t>响应</w:t>
            </w:r>
            <w:r>
              <w:rPr>
                <w:rFonts w:ascii="仿宋_GB2312" w:hAnsi="宋体" w:eastAsia="仿宋_GB2312" w:cs="宋体"/>
                <w:color w:val="000000"/>
                <w:kern w:val="0"/>
                <w:szCs w:val="21"/>
                <w14:ligatures w14:val="none"/>
              </w:rPr>
              <w:t>授权函及售后服务承诺函并加盖原厂公章，否则作无效标处理。</w:t>
            </w:r>
          </w:p>
          <w:p>
            <w:pPr>
              <w:widowControl/>
              <w:jc w:val="left"/>
              <w:rPr>
                <w:rFonts w:hint="default" w:ascii="仿宋_GB2312" w:hAnsi="宋体" w:eastAsia="仿宋_GB2312" w:cs="宋体"/>
                <w:color w:val="000000"/>
                <w:kern w:val="0"/>
                <w:szCs w:val="21"/>
                <w:lang w:val="en-US" w:eastAsia="zh-CN"/>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4.故障响应时间：接到采购人故障通知后，成交人的维保人员须在1小时内给予响应；需要到现场解决的，成交人接到故障通知后在4小时内到达采购人指定现场。</w:t>
            </w:r>
            <w:r>
              <w:rPr>
                <w:rFonts w:hint="eastAsia" w:ascii="仿宋_GB2312" w:hAnsi="宋体" w:eastAsia="仿宋_GB2312" w:cs="宋体"/>
                <w:color w:val="000000"/>
                <w:kern w:val="0"/>
                <w:szCs w:val="21"/>
                <w:lang w:val="en-US" w:eastAsia="zh-CN"/>
                <w14:ligatures w14:val="none"/>
              </w:rPr>
              <w:t>故障响应时间在</w:t>
            </w:r>
            <w:r>
              <w:rPr>
                <w:rFonts w:ascii="仿宋_GB2312" w:hAnsi="宋体" w:eastAsia="仿宋_GB2312" w:cs="宋体"/>
                <w:color w:val="000000"/>
                <w:kern w:val="0"/>
                <w:szCs w:val="21"/>
                <w14:ligatures w14:val="none"/>
              </w:rPr>
              <w:t>售后服务承诺函</w:t>
            </w:r>
            <w:r>
              <w:rPr>
                <w:rFonts w:hint="eastAsia" w:ascii="仿宋_GB2312" w:hAnsi="宋体" w:eastAsia="仿宋_GB2312" w:cs="宋体"/>
                <w:color w:val="000000"/>
                <w:kern w:val="0"/>
                <w:szCs w:val="21"/>
                <w:lang w:val="en-US" w:eastAsia="zh-CN"/>
                <w14:ligatures w14:val="none"/>
              </w:rPr>
              <w:t>中体现。</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5.本次采购的产品需厂家或供应商指派本单位的专业技术人员上门进行安装、调试等系统实施与集成服务，包含软硬件安装调试，并对相关人员免费培训，直至熟练掌握使用方法，培训时间及地点由双方协商确定。</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6.交货地点：南宁市佛子岭路3号中山大学附属第一医院广西医院。</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7.按要求送货至指定地点并负责卸货。不接受物流或者快递送货，供应商自己接收货物。</w:t>
            </w:r>
          </w:p>
          <w:p>
            <w:pPr>
              <w:widowControl/>
              <w:jc w:val="left"/>
              <w:rPr>
                <w:rFonts w:ascii="仿宋_GB2312" w:hAnsi="宋体" w:eastAsia="仿宋_GB2312" w:cs="宋体"/>
                <w:color w:val="000000"/>
                <w:kern w:val="0"/>
                <w:szCs w:val="21"/>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8.验收标准：按国家标准进行验收，采购人可对本次采购的产品通过官网、400电话等方式对产品的技术性能、真伪、最终客户是否为采购人等进行查询与核实，若存在虚假应标，视为验收不合格并上报政府采购部门及追究其法律责任。</w:t>
            </w:r>
          </w:p>
          <w:p>
            <w:pPr>
              <w:widowControl/>
              <w:jc w:val="left"/>
              <w:rPr>
                <w:rFonts w:hint="eastAsia" w:ascii="仿宋_GB2312" w:hAnsi="宋体" w:eastAsia="仿宋_GB2312" w:cs="宋体"/>
                <w:color w:val="000000"/>
                <w:kern w:val="0"/>
                <w:szCs w:val="21"/>
                <w:lang w:val="en-US" w:eastAsia="zh-CN"/>
                <w14:ligatures w14:val="none"/>
              </w:rPr>
            </w:pPr>
            <w:r>
              <w:rPr>
                <w:rFonts w:hint="eastAsia" w:ascii="仿宋_GB2312" w:hAnsi="宋体" w:eastAsia="仿宋_GB2312" w:cs="宋体"/>
                <w:color w:val="000000"/>
                <w:kern w:val="0"/>
                <w:szCs w:val="21"/>
                <w14:ligatures w14:val="none"/>
              </w:rPr>
              <w:t>▲</w:t>
            </w:r>
            <w:r>
              <w:rPr>
                <w:rFonts w:ascii="仿宋_GB2312" w:hAnsi="宋体" w:eastAsia="仿宋_GB2312" w:cs="宋体"/>
                <w:color w:val="000000"/>
                <w:kern w:val="0"/>
                <w:szCs w:val="21"/>
                <w14:ligatures w14:val="none"/>
              </w:rPr>
              <w:t>9.本货物验收合格后，采购人收到发票申请用款计划，待财政用款计划批复后一次性付清。</w:t>
            </w:r>
          </w:p>
        </w:tc>
      </w:tr>
    </w:tbl>
    <w:p>
      <w:pPr>
        <w:rPr>
          <w:rFonts w:ascii="仿宋_GB2312" w:eastAsia="仿宋_GB2312"/>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22915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002A02FF"/>
    <w:rsid w:val="000221D7"/>
    <w:rsid w:val="00044A2C"/>
    <w:rsid w:val="0006342B"/>
    <w:rsid w:val="00075BF6"/>
    <w:rsid w:val="000933C1"/>
    <w:rsid w:val="000A245E"/>
    <w:rsid w:val="000C1F61"/>
    <w:rsid w:val="000C20AE"/>
    <w:rsid w:val="000D6940"/>
    <w:rsid w:val="000E0393"/>
    <w:rsid w:val="000E21EF"/>
    <w:rsid w:val="000F722B"/>
    <w:rsid w:val="00102BE5"/>
    <w:rsid w:val="001075AA"/>
    <w:rsid w:val="00110623"/>
    <w:rsid w:val="001128FC"/>
    <w:rsid w:val="0012148F"/>
    <w:rsid w:val="00132B77"/>
    <w:rsid w:val="00135E3B"/>
    <w:rsid w:val="00135F50"/>
    <w:rsid w:val="001404A3"/>
    <w:rsid w:val="0014279E"/>
    <w:rsid w:val="00153A2B"/>
    <w:rsid w:val="001562BC"/>
    <w:rsid w:val="00165486"/>
    <w:rsid w:val="00196933"/>
    <w:rsid w:val="001A39BE"/>
    <w:rsid w:val="001A5AF6"/>
    <w:rsid w:val="001A6A7A"/>
    <w:rsid w:val="001B1EAE"/>
    <w:rsid w:val="001D6B08"/>
    <w:rsid w:val="001E46BE"/>
    <w:rsid w:val="001F0932"/>
    <w:rsid w:val="00222295"/>
    <w:rsid w:val="002239FF"/>
    <w:rsid w:val="00225B07"/>
    <w:rsid w:val="002356FD"/>
    <w:rsid w:val="00237D8E"/>
    <w:rsid w:val="00240F2E"/>
    <w:rsid w:val="002571D1"/>
    <w:rsid w:val="002603B4"/>
    <w:rsid w:val="00263ABC"/>
    <w:rsid w:val="0028494A"/>
    <w:rsid w:val="00293BC8"/>
    <w:rsid w:val="002A02FF"/>
    <w:rsid w:val="002D11BE"/>
    <w:rsid w:val="002D713D"/>
    <w:rsid w:val="002F6C43"/>
    <w:rsid w:val="00300459"/>
    <w:rsid w:val="00303655"/>
    <w:rsid w:val="00303A5E"/>
    <w:rsid w:val="0032335A"/>
    <w:rsid w:val="003310D7"/>
    <w:rsid w:val="00336355"/>
    <w:rsid w:val="00351F7A"/>
    <w:rsid w:val="00356CD3"/>
    <w:rsid w:val="003572F1"/>
    <w:rsid w:val="00363C56"/>
    <w:rsid w:val="003774A6"/>
    <w:rsid w:val="00380AEA"/>
    <w:rsid w:val="00387879"/>
    <w:rsid w:val="003C0CF7"/>
    <w:rsid w:val="003C7821"/>
    <w:rsid w:val="003E0896"/>
    <w:rsid w:val="003E1CAD"/>
    <w:rsid w:val="00404F25"/>
    <w:rsid w:val="00415FCB"/>
    <w:rsid w:val="004164F6"/>
    <w:rsid w:val="00430948"/>
    <w:rsid w:val="00437950"/>
    <w:rsid w:val="00446CAF"/>
    <w:rsid w:val="00461F74"/>
    <w:rsid w:val="00471FCF"/>
    <w:rsid w:val="004809E3"/>
    <w:rsid w:val="0048734A"/>
    <w:rsid w:val="00497473"/>
    <w:rsid w:val="004C5028"/>
    <w:rsid w:val="004C5EF4"/>
    <w:rsid w:val="004D7F69"/>
    <w:rsid w:val="004E2FD7"/>
    <w:rsid w:val="004F7FF0"/>
    <w:rsid w:val="00500464"/>
    <w:rsid w:val="00505CB5"/>
    <w:rsid w:val="00521FF9"/>
    <w:rsid w:val="00524A35"/>
    <w:rsid w:val="00525E8D"/>
    <w:rsid w:val="00533EDF"/>
    <w:rsid w:val="0054066D"/>
    <w:rsid w:val="00542103"/>
    <w:rsid w:val="00553290"/>
    <w:rsid w:val="00553BD9"/>
    <w:rsid w:val="00561789"/>
    <w:rsid w:val="00570E80"/>
    <w:rsid w:val="00572E27"/>
    <w:rsid w:val="00587F0E"/>
    <w:rsid w:val="00592318"/>
    <w:rsid w:val="00592C24"/>
    <w:rsid w:val="00593129"/>
    <w:rsid w:val="00593ED2"/>
    <w:rsid w:val="00596A2A"/>
    <w:rsid w:val="005B2EB9"/>
    <w:rsid w:val="005C49AC"/>
    <w:rsid w:val="005D41DB"/>
    <w:rsid w:val="005D451B"/>
    <w:rsid w:val="005F3AEA"/>
    <w:rsid w:val="005F6016"/>
    <w:rsid w:val="00604D66"/>
    <w:rsid w:val="00606667"/>
    <w:rsid w:val="00617761"/>
    <w:rsid w:val="0062108B"/>
    <w:rsid w:val="00622678"/>
    <w:rsid w:val="0062537E"/>
    <w:rsid w:val="00630627"/>
    <w:rsid w:val="00637600"/>
    <w:rsid w:val="006552F8"/>
    <w:rsid w:val="00666121"/>
    <w:rsid w:val="006679C9"/>
    <w:rsid w:val="0067378C"/>
    <w:rsid w:val="006906F3"/>
    <w:rsid w:val="00696B67"/>
    <w:rsid w:val="006A32C9"/>
    <w:rsid w:val="006A3788"/>
    <w:rsid w:val="006B6164"/>
    <w:rsid w:val="006C098A"/>
    <w:rsid w:val="006C139F"/>
    <w:rsid w:val="006C5B8A"/>
    <w:rsid w:val="006D30E9"/>
    <w:rsid w:val="006D35DF"/>
    <w:rsid w:val="006E5A07"/>
    <w:rsid w:val="007014C7"/>
    <w:rsid w:val="0071305C"/>
    <w:rsid w:val="0071779F"/>
    <w:rsid w:val="007209EC"/>
    <w:rsid w:val="0073031D"/>
    <w:rsid w:val="0073361F"/>
    <w:rsid w:val="007620C4"/>
    <w:rsid w:val="0077337B"/>
    <w:rsid w:val="00776AB0"/>
    <w:rsid w:val="00780F3D"/>
    <w:rsid w:val="007850A8"/>
    <w:rsid w:val="00792DEE"/>
    <w:rsid w:val="007A347D"/>
    <w:rsid w:val="007B036B"/>
    <w:rsid w:val="007B5746"/>
    <w:rsid w:val="007C7231"/>
    <w:rsid w:val="007E0C6E"/>
    <w:rsid w:val="007E3973"/>
    <w:rsid w:val="007F1F57"/>
    <w:rsid w:val="008226B6"/>
    <w:rsid w:val="0082769C"/>
    <w:rsid w:val="00834B91"/>
    <w:rsid w:val="00853F85"/>
    <w:rsid w:val="0086545F"/>
    <w:rsid w:val="008962F1"/>
    <w:rsid w:val="008B3167"/>
    <w:rsid w:val="008E79A0"/>
    <w:rsid w:val="00905505"/>
    <w:rsid w:val="009064B6"/>
    <w:rsid w:val="009101E8"/>
    <w:rsid w:val="009120F2"/>
    <w:rsid w:val="00912329"/>
    <w:rsid w:val="00952EAB"/>
    <w:rsid w:val="0096524C"/>
    <w:rsid w:val="009734BE"/>
    <w:rsid w:val="00974F70"/>
    <w:rsid w:val="0097620E"/>
    <w:rsid w:val="00985C46"/>
    <w:rsid w:val="009942F5"/>
    <w:rsid w:val="009A3280"/>
    <w:rsid w:val="009B1C3D"/>
    <w:rsid w:val="009B20E1"/>
    <w:rsid w:val="009B6DEF"/>
    <w:rsid w:val="009C1FD0"/>
    <w:rsid w:val="009C5266"/>
    <w:rsid w:val="009E25E4"/>
    <w:rsid w:val="009E2B61"/>
    <w:rsid w:val="009F371F"/>
    <w:rsid w:val="00A11E29"/>
    <w:rsid w:val="00A35EDC"/>
    <w:rsid w:val="00A513DA"/>
    <w:rsid w:val="00A6139B"/>
    <w:rsid w:val="00A806B8"/>
    <w:rsid w:val="00AA7177"/>
    <w:rsid w:val="00AD1273"/>
    <w:rsid w:val="00AD3B15"/>
    <w:rsid w:val="00AE0677"/>
    <w:rsid w:val="00AE40B5"/>
    <w:rsid w:val="00B00426"/>
    <w:rsid w:val="00B015B2"/>
    <w:rsid w:val="00B01B66"/>
    <w:rsid w:val="00B105ED"/>
    <w:rsid w:val="00B11580"/>
    <w:rsid w:val="00B23037"/>
    <w:rsid w:val="00B71A8D"/>
    <w:rsid w:val="00B81085"/>
    <w:rsid w:val="00B964BC"/>
    <w:rsid w:val="00BB7D71"/>
    <w:rsid w:val="00BC1021"/>
    <w:rsid w:val="00BC333B"/>
    <w:rsid w:val="00BD2FA1"/>
    <w:rsid w:val="00BD3130"/>
    <w:rsid w:val="00BE06DE"/>
    <w:rsid w:val="00BE2B21"/>
    <w:rsid w:val="00BE3C60"/>
    <w:rsid w:val="00C00A3F"/>
    <w:rsid w:val="00C02DDF"/>
    <w:rsid w:val="00C0554A"/>
    <w:rsid w:val="00C06282"/>
    <w:rsid w:val="00C06C38"/>
    <w:rsid w:val="00C13F17"/>
    <w:rsid w:val="00C163CF"/>
    <w:rsid w:val="00C3167B"/>
    <w:rsid w:val="00C32DBC"/>
    <w:rsid w:val="00C43424"/>
    <w:rsid w:val="00C51D05"/>
    <w:rsid w:val="00C55EC5"/>
    <w:rsid w:val="00C73B9B"/>
    <w:rsid w:val="00C871F2"/>
    <w:rsid w:val="00C90317"/>
    <w:rsid w:val="00CB1D7D"/>
    <w:rsid w:val="00CB4F9C"/>
    <w:rsid w:val="00CB7A1A"/>
    <w:rsid w:val="00CE250C"/>
    <w:rsid w:val="00CF0150"/>
    <w:rsid w:val="00CF2539"/>
    <w:rsid w:val="00D0670D"/>
    <w:rsid w:val="00D364AC"/>
    <w:rsid w:val="00D66262"/>
    <w:rsid w:val="00D74A54"/>
    <w:rsid w:val="00DA2854"/>
    <w:rsid w:val="00DB126E"/>
    <w:rsid w:val="00DB7192"/>
    <w:rsid w:val="00DC25D2"/>
    <w:rsid w:val="00DD0706"/>
    <w:rsid w:val="00DD2B36"/>
    <w:rsid w:val="00DE61D8"/>
    <w:rsid w:val="00E0166E"/>
    <w:rsid w:val="00E064AF"/>
    <w:rsid w:val="00E13037"/>
    <w:rsid w:val="00E24C01"/>
    <w:rsid w:val="00E32389"/>
    <w:rsid w:val="00E414EF"/>
    <w:rsid w:val="00E4673C"/>
    <w:rsid w:val="00E613BE"/>
    <w:rsid w:val="00E74023"/>
    <w:rsid w:val="00E74A80"/>
    <w:rsid w:val="00EB5E60"/>
    <w:rsid w:val="00EC73C1"/>
    <w:rsid w:val="00ED08BA"/>
    <w:rsid w:val="00ED1995"/>
    <w:rsid w:val="00EE51A2"/>
    <w:rsid w:val="00EE5599"/>
    <w:rsid w:val="00F02402"/>
    <w:rsid w:val="00F04B49"/>
    <w:rsid w:val="00F07AE1"/>
    <w:rsid w:val="00F245C6"/>
    <w:rsid w:val="00F35BD2"/>
    <w:rsid w:val="00F37F1D"/>
    <w:rsid w:val="00F514BA"/>
    <w:rsid w:val="00F57918"/>
    <w:rsid w:val="00F60F04"/>
    <w:rsid w:val="00F647AF"/>
    <w:rsid w:val="00F752F7"/>
    <w:rsid w:val="00F77F1A"/>
    <w:rsid w:val="00F911B3"/>
    <w:rsid w:val="00F913E6"/>
    <w:rsid w:val="00FA50CF"/>
    <w:rsid w:val="00FA7D36"/>
    <w:rsid w:val="00FB5D6C"/>
    <w:rsid w:val="00FC42DA"/>
    <w:rsid w:val="00FE71EC"/>
    <w:rsid w:val="069907F8"/>
    <w:rsid w:val="0EF350FC"/>
    <w:rsid w:val="26572D13"/>
    <w:rsid w:val="323E152E"/>
    <w:rsid w:val="366D7638"/>
    <w:rsid w:val="41CF65AC"/>
    <w:rsid w:val="4B536434"/>
    <w:rsid w:val="596E17FD"/>
    <w:rsid w:val="6A616D52"/>
    <w:rsid w:val="78317AA8"/>
    <w:rsid w:val="7DE3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E86C-62E8-42E6-A2D6-7E39D7CAF5E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2042</Words>
  <Characters>2234</Characters>
  <Lines>16</Lines>
  <Paragraphs>4</Paragraphs>
  <TotalTime>5</TotalTime>
  <ScaleCrop>false</ScaleCrop>
  <LinksUpToDate>false</LinksUpToDate>
  <CharactersWithSpaces>2242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2024-03-11T02:32:00Z</dcterms:created>
  <dc:creator>Administrator</dc:creator>
  <cp:lastModifiedBy>秋秋</cp:lastModifiedBy>
  <cp:lastPrinted>2024-03-11T02:48:00Z</cp:lastPrinted>
  <dcterms:modified xsi:type="dcterms:W3CDTF">2024-06-17T09:33:08Z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0B82EE30A3BD487881365E72884F4290_12</vt:lpwstr>
  </property>
</Properties>
</file>