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w:t>
      </w:r>
      <w:bookmarkStart w:id="0" w:name="_GoBack"/>
      <w:r>
        <w:rPr>
          <w:rFonts w:hint="eastAsia" w:ascii="微软雅黑" w:hAnsi="微软雅黑" w:eastAsia="微软雅黑" w:cs="微软雅黑"/>
          <w:b/>
          <w:bCs/>
          <w:i w:val="0"/>
          <w:iCs w:val="0"/>
          <w:caps w:val="0"/>
          <w:color w:val="000000"/>
          <w:spacing w:val="0"/>
          <w:sz w:val="40"/>
          <w:szCs w:val="40"/>
          <w:lang w:val="en-US" w:eastAsia="zh-CN"/>
        </w:rPr>
        <w:t>婴幼儿配方食品类</w:t>
      </w:r>
      <w:bookmarkEnd w:id="0"/>
      <w:r>
        <w:rPr>
          <w:rFonts w:hint="eastAsia" w:ascii="微软雅黑" w:hAnsi="微软雅黑" w:eastAsia="微软雅黑" w:cs="微软雅黑"/>
          <w:b/>
          <w:bCs/>
          <w:i w:val="0"/>
          <w:iCs w:val="0"/>
          <w:caps w:val="0"/>
          <w:color w:val="000000"/>
          <w:spacing w:val="0"/>
          <w:sz w:val="40"/>
          <w:szCs w:val="40"/>
          <w:lang w:val="en-US" w:eastAsia="zh-CN"/>
        </w:rPr>
        <w:t>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预算15万</w:t>
      </w:r>
      <w:r>
        <w:rPr>
          <w:rFonts w:hint="eastAsia"/>
          <w:b/>
          <w:bCs/>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1.适用于0~6月龄婴儿食用的配方食品。</w:t>
      </w:r>
    </w:p>
    <w:p>
      <w:pPr>
        <w:pStyle w:val="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2.适用于6月龄以上婴儿和幼儿食用的辅助食品。</w:t>
      </w:r>
    </w:p>
    <w:p>
      <w:pPr>
        <w:pStyle w:val="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b/>
          <w:bCs/>
          <w:color w:val="000000" w:themeColor="text1"/>
          <w:sz w:val="32"/>
          <w:szCs w:val="32"/>
          <w14:textFill>
            <w14:solidFill>
              <w14:schemeClr w14:val="tx1"/>
            </w14:solidFill>
          </w14:textFill>
        </w:rPr>
      </w:pPr>
      <w:r>
        <w:rPr>
          <w:rFonts w:hint="eastAsia" w:ascii="宋体" w:hAnsi="宋体" w:eastAsia="宋体" w:cs="宋体"/>
          <w:b w:val="0"/>
          <w:bCs w:val="0"/>
          <w:sz w:val="28"/>
          <w:szCs w:val="28"/>
          <w:lang w:val="en-US" w:eastAsia="zh-CN"/>
        </w:rPr>
        <w:t>3.适用于1岁~10岁人群的配方食品，包括但不限于：全营养配方食品、非全营养配方食品等。</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numId w:val="0"/>
        </w:numPr>
        <w:kinsoku/>
        <w:wordWrap/>
        <w:overflowPunct/>
        <w:topLinePunct w:val="0"/>
        <w:autoSpaceDE/>
        <w:autoSpaceDN/>
        <w:bidi w:val="0"/>
        <w:adjustRightInd/>
        <w:snapToGrid/>
        <w:ind w:firstLine="600" w:firstLineChars="200"/>
        <w:jc w:val="left"/>
        <w:textAlignment w:val="auto"/>
        <w:rPr>
          <w:rFonts w:hint="eastAsia"/>
          <w:b/>
          <w:bCs/>
          <w:color w:val="000000" w:themeColor="text1"/>
          <w:sz w:val="32"/>
          <w:szCs w:val="32"/>
          <w:lang w:val="en-US" w:eastAsia="zh-CN"/>
          <w14:textFill>
            <w14:solidFill>
              <w14:schemeClr w14:val="tx1"/>
            </w14:solidFill>
          </w14:textFill>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保质期在6个月以内的，送货日至保质期到期日的天数必须大于保质期天数的三分之二；保质期在6个月以上的，送货日至保质期到期日的天数必须大于保质期天数的二分之一。</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5BF1B7D"/>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DBB175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2363498"/>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2024-03-15T07:43:27Z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63DEC0296221480DA92278F9161CB3DF_13</vt:lpwstr>
  </property>
</Properties>
</file>