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2E2E">
      <w:pPr>
        <w:spacing w:line="500" w:lineRule="exact"/>
        <w:ind w:firstLine="420" w:firstLineChars="0"/>
        <w:jc w:val="center"/>
        <w:rPr>
          <w:rFonts w:hint="default"/>
          <w:color w:val="auto"/>
          <w:highlight w:val="none"/>
          <w:lang w:val="en-US" w:eastAsia="zh-CN"/>
        </w:rPr>
      </w:pPr>
      <w:r>
        <w:rPr>
          <w:rFonts w:hint="eastAsia" w:ascii="仿宋_GB2312" w:hAnsi="宋体" w:eastAsia="仿宋_GB2312"/>
          <w:b/>
          <w:color w:val="auto"/>
          <w:sz w:val="40"/>
          <w:szCs w:val="40"/>
          <w:highlight w:val="none"/>
          <w:lang w:val="en-US" w:eastAsia="zh-CN"/>
        </w:rPr>
        <w:t>中山大学附属第一医院广西医院裸光纤服务</w:t>
      </w:r>
      <w:r>
        <w:rPr>
          <w:rFonts w:hint="eastAsia" w:ascii="仿宋_GB2312" w:hAnsi="宋体" w:eastAsia="仿宋_GB2312"/>
          <w:b/>
          <w:color w:val="auto"/>
          <w:sz w:val="40"/>
          <w:szCs w:val="40"/>
          <w:highlight w:val="none"/>
        </w:rPr>
        <w:t>参数及</w:t>
      </w:r>
      <w:r>
        <w:rPr>
          <w:rFonts w:hint="eastAsia" w:ascii="仿宋_GB2312" w:hAnsi="宋体" w:eastAsia="仿宋_GB2312"/>
          <w:b/>
          <w:color w:val="auto"/>
          <w:sz w:val="40"/>
          <w:szCs w:val="40"/>
          <w:highlight w:val="none"/>
          <w:lang w:val="en-US" w:eastAsia="zh-CN"/>
        </w:rPr>
        <w:t>评分标准</w:t>
      </w:r>
      <w:bookmarkStart w:id="0" w:name="_GoBack"/>
      <w:bookmarkEnd w:id="0"/>
    </w:p>
    <w:p w14:paraId="208E848D">
      <w:pPr>
        <w:pStyle w:val="2"/>
        <w:rPr>
          <w:rFonts w:hint="eastAsia"/>
          <w:color w:val="auto"/>
          <w:highlight w:val="none"/>
        </w:rPr>
      </w:pPr>
    </w:p>
    <w:p w14:paraId="3767251F">
      <w:pPr>
        <w:pStyle w:val="2"/>
        <w:rPr>
          <w:color w:val="auto"/>
          <w:highlight w:val="none"/>
        </w:rPr>
      </w:pPr>
      <w:r>
        <w:rPr>
          <w:rFonts w:hint="eastAsia" w:ascii="宋体" w:hAnsi="宋体" w:eastAsia="宋体" w:cs="宋体"/>
          <w:color w:val="auto"/>
          <w:kern w:val="0"/>
          <w:sz w:val="22"/>
          <w:szCs w:val="22"/>
          <w:highlight w:val="none"/>
          <w:lang w:val="en-US" w:eastAsia="zh-CN"/>
        </w:rPr>
        <w:t>注：标注“</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”的条款为实质性要求，如不满足则按无效响应处理</w:t>
      </w:r>
    </w:p>
    <w:tbl>
      <w:tblPr>
        <w:tblStyle w:val="10"/>
        <w:tblpPr w:leftFromText="180" w:rightFromText="180" w:vertAnchor="text" w:horzAnchor="page" w:tblpX="824" w:tblpY="494"/>
        <w:tblOverlap w:val="never"/>
        <w:tblW w:w="9915" w:type="dxa"/>
        <w:jc w:val="center"/>
        <w:shd w:val="clear" w:color="auto" w:fill="FFFFFF"/>
        <w:tblLayout w:type="fixed"/>
        <w:tblCellMar>
          <w:top w:w="0" w:type="dxa"/>
          <w:left w:w="0" w:type="dxa"/>
          <w:bottom w:w="0" w:type="dxa"/>
          <w:right w:w="0" w:type="dxa"/>
        </w:tblCellMar>
      </w:tblPr>
      <w:tblGrid>
        <w:gridCol w:w="610"/>
        <w:gridCol w:w="1040"/>
        <w:gridCol w:w="675"/>
        <w:gridCol w:w="837"/>
        <w:gridCol w:w="6753"/>
      </w:tblGrid>
      <w:tr w14:paraId="7918500A">
        <w:tblPrEx>
          <w:shd w:val="clear" w:color="auto" w:fill="FFFFFF"/>
          <w:tblCellMar>
            <w:top w:w="0" w:type="dxa"/>
            <w:left w:w="0" w:type="dxa"/>
            <w:bottom w:w="0" w:type="dxa"/>
            <w:right w:w="0" w:type="dxa"/>
          </w:tblCellMar>
        </w:tblPrEx>
        <w:trPr>
          <w:trHeight w:val="402" w:hRule="atLeast"/>
          <w:jc w:val="center"/>
        </w:trPr>
        <w:tc>
          <w:tcPr>
            <w:tcW w:w="991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79F18F">
            <w:pPr>
              <w:snapToGrid w:val="0"/>
              <w:jc w:val="left"/>
              <w:rPr>
                <w:rFonts w:hint="eastAsia" w:ascii="宋体" w:hAnsi="宋体" w:cs="宋体"/>
                <w:b/>
                <w:color w:val="auto"/>
                <w:highlight w:val="none"/>
              </w:rPr>
            </w:pPr>
            <w:r>
              <w:rPr>
                <w:rFonts w:hint="eastAsia" w:ascii="宋体" w:hAnsi="宋体" w:cs="宋体"/>
                <w:b/>
                <w:color w:val="auto"/>
                <w:highlight w:val="none"/>
              </w:rPr>
              <w:t>一、采购标的技术参数及规格要求</w:t>
            </w:r>
          </w:p>
        </w:tc>
      </w:tr>
      <w:tr w14:paraId="337C8B2C">
        <w:tblPrEx>
          <w:shd w:val="clear" w:color="auto" w:fill="FFFFFF"/>
          <w:tblCellMar>
            <w:top w:w="0" w:type="dxa"/>
            <w:left w:w="0" w:type="dxa"/>
            <w:bottom w:w="0" w:type="dxa"/>
            <w:right w:w="0" w:type="dxa"/>
          </w:tblCellMar>
        </w:tblPrEx>
        <w:trPr>
          <w:trHeight w:val="402"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5A5098">
            <w:pPr>
              <w:widowControl/>
              <w:snapToGrid w:val="0"/>
              <w:jc w:val="center"/>
              <w:textAlignment w:val="center"/>
              <w:rPr>
                <w:rFonts w:hint="eastAsia" w:ascii="宋体" w:hAnsi="宋体" w:cs="宋体"/>
                <w:b/>
                <w:color w:val="auto"/>
                <w:kern w:val="0"/>
                <w:highlight w:val="none"/>
              </w:rPr>
            </w:pPr>
            <w:r>
              <w:rPr>
                <w:rFonts w:hint="eastAsia" w:ascii="宋体" w:hAnsi="宋体" w:cs="宋体"/>
                <w:b/>
                <w:color w:val="auto"/>
                <w:kern w:val="0"/>
                <w:highlight w:val="none"/>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4617F1">
            <w:pPr>
              <w:widowControl/>
              <w:snapToGrid w:val="0"/>
              <w:jc w:val="center"/>
              <w:textAlignment w:val="center"/>
              <w:rPr>
                <w:rFonts w:hint="eastAsia" w:ascii="宋体" w:hAnsi="宋体" w:cs="宋体"/>
                <w:b/>
                <w:color w:val="auto"/>
                <w:kern w:val="0"/>
                <w:highlight w:val="none"/>
              </w:rPr>
            </w:pPr>
            <w:r>
              <w:rPr>
                <w:rFonts w:hint="eastAsia" w:ascii="宋体" w:hAnsi="宋体" w:cs="宋体"/>
                <w:b/>
                <w:color w:val="auto"/>
                <w:kern w:val="0"/>
                <w:highlight w:val="none"/>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4FFE0F">
            <w:pPr>
              <w:snapToGrid w:val="0"/>
              <w:jc w:val="center"/>
              <w:rPr>
                <w:rFonts w:hint="eastAsia" w:ascii="宋体" w:hAnsi="宋体" w:cs="宋体"/>
                <w:b/>
                <w:color w:val="auto"/>
                <w:kern w:val="0"/>
                <w:highlight w:val="none"/>
              </w:rPr>
            </w:pPr>
            <w:r>
              <w:rPr>
                <w:rFonts w:hint="eastAsia" w:ascii="宋体" w:hAnsi="宋体" w:cs="宋体"/>
                <w:b/>
                <w:color w:val="auto"/>
                <w:highlight w:val="none"/>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EF7D03">
            <w:pPr>
              <w:snapToGrid w:val="0"/>
              <w:jc w:val="center"/>
              <w:rPr>
                <w:rFonts w:hint="eastAsia" w:ascii="宋体" w:hAnsi="宋体" w:cs="宋体"/>
                <w:b/>
                <w:color w:val="auto"/>
                <w:highlight w:val="none"/>
              </w:rPr>
            </w:pPr>
            <w:r>
              <w:rPr>
                <w:rFonts w:hint="eastAsia" w:ascii="宋体" w:hAnsi="宋体" w:cs="宋体"/>
                <w:b/>
                <w:color w:val="auto"/>
                <w:highlight w:val="none"/>
              </w:rPr>
              <w:t>单位</w:t>
            </w:r>
          </w:p>
        </w:tc>
        <w:tc>
          <w:tcPr>
            <w:tcW w:w="67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A3CEEB">
            <w:pPr>
              <w:widowControl/>
              <w:snapToGrid w:val="0"/>
              <w:jc w:val="center"/>
              <w:textAlignment w:val="center"/>
              <w:rPr>
                <w:rFonts w:hint="eastAsia" w:ascii="宋体" w:hAnsi="宋体" w:cs="宋体"/>
                <w:b/>
                <w:color w:val="auto"/>
                <w:highlight w:val="none"/>
              </w:rPr>
            </w:pPr>
            <w:r>
              <w:rPr>
                <w:rFonts w:hint="eastAsia" w:ascii="宋体" w:hAnsi="宋体" w:cs="宋体"/>
                <w:b/>
                <w:color w:val="auto"/>
                <w:kern w:val="0"/>
                <w:highlight w:val="none"/>
              </w:rPr>
              <w:t>技术参数</w:t>
            </w:r>
            <w:r>
              <w:rPr>
                <w:rStyle w:val="12"/>
                <w:rFonts w:hint="eastAsia" w:ascii="宋体" w:hAnsi="宋体" w:cs="宋体"/>
                <w:b/>
                <w:color w:val="auto"/>
                <w:highlight w:val="none"/>
              </w:rPr>
              <w:t>及规格要求</w:t>
            </w:r>
          </w:p>
        </w:tc>
      </w:tr>
      <w:tr w14:paraId="362338AD">
        <w:tblPrEx>
          <w:shd w:val="clear" w:color="auto" w:fill="FFFFFF"/>
          <w:tblCellMar>
            <w:top w:w="0" w:type="dxa"/>
            <w:left w:w="0" w:type="dxa"/>
            <w:bottom w:w="0" w:type="dxa"/>
            <w:right w:w="0" w:type="dxa"/>
          </w:tblCellMar>
        </w:tblPrEx>
        <w:trPr>
          <w:trHeight w:val="7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BDA97C">
            <w:pPr>
              <w:widowControl/>
              <w:snapToGrid w:val="0"/>
              <w:jc w:val="center"/>
              <w:textAlignment w:val="center"/>
              <w:rPr>
                <w:rFonts w:hint="eastAsia" w:ascii="宋体" w:hAnsi="宋体" w:cs="宋体"/>
                <w:color w:val="auto"/>
                <w:highlight w:val="none"/>
              </w:rPr>
            </w:pPr>
            <w:r>
              <w:rPr>
                <w:rFonts w:hint="eastAsia" w:ascii="宋体" w:hAnsi="宋体" w:cs="宋体"/>
                <w:color w:val="auto"/>
                <w:kern w:val="0"/>
                <w:highlight w:val="none"/>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429051">
            <w:pPr>
              <w:snapToGrid w:val="0"/>
              <w:jc w:val="center"/>
              <w:rPr>
                <w:rFonts w:hint="eastAsia" w:ascii="宋体" w:hAnsi="宋体" w:cs="宋体"/>
                <w:color w:val="auto"/>
                <w:highlight w:val="none"/>
              </w:rPr>
            </w:pPr>
            <w:r>
              <w:rPr>
                <w:rFonts w:hint="eastAsia" w:ascii="宋体" w:hAnsi="宋体" w:cs="宋体"/>
                <w:color w:val="auto"/>
                <w:highlight w:val="none"/>
                <w:shd w:val="clear" w:color="auto" w:fill="FFFFFF"/>
              </w:rPr>
              <w:t>裸纤服务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B6F947">
            <w:pPr>
              <w:widowControl/>
              <w:snapToGrid w:val="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76713">
            <w:pPr>
              <w:widowControl/>
              <w:snapToGrid w:val="0"/>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项</w:t>
            </w:r>
          </w:p>
        </w:tc>
        <w:tc>
          <w:tcPr>
            <w:tcW w:w="67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2C4DE3">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一、院区间裸光纤</w:t>
            </w:r>
            <w:r>
              <w:rPr>
                <w:rFonts w:hint="eastAsia" w:ascii="宋体" w:hAnsi="宋体" w:cs="宋体"/>
                <w:color w:val="auto"/>
                <w:highlight w:val="none"/>
                <w:lang w:val="en-US" w:eastAsia="zh-CN"/>
              </w:rPr>
              <w:t>和电路</w:t>
            </w:r>
            <w:r>
              <w:rPr>
                <w:rFonts w:hint="eastAsia" w:ascii="宋体" w:hAnsi="宋体" w:cs="宋体"/>
                <w:color w:val="auto"/>
                <w:highlight w:val="none"/>
              </w:rPr>
              <w:t>服务</w:t>
            </w:r>
          </w:p>
          <w:p w14:paraId="202684AD">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（一）点到点中间不跳转的裸光纤租用服务，包括：</w:t>
            </w:r>
          </w:p>
          <w:p w14:paraId="45C44CDA">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提供</w:t>
            </w:r>
            <w:r>
              <w:rPr>
                <w:rFonts w:hint="eastAsia" w:ascii="宋体" w:hAnsi="宋体" w:cs="宋体"/>
                <w:color w:val="auto"/>
                <w:highlight w:val="none"/>
                <w:lang w:val="en-US" w:eastAsia="zh-CN"/>
              </w:rPr>
              <w:t>1</w:t>
            </w:r>
            <w:r>
              <w:rPr>
                <w:rFonts w:hint="eastAsia" w:ascii="宋体" w:hAnsi="宋体" w:cs="宋体"/>
                <w:color w:val="auto"/>
                <w:highlight w:val="none"/>
              </w:rPr>
              <w:t>条</w:t>
            </w:r>
            <w:r>
              <w:rPr>
                <w:rFonts w:hint="eastAsia" w:ascii="宋体" w:hAnsi="宋体" w:cs="宋体"/>
                <w:color w:val="auto"/>
                <w:highlight w:val="none"/>
                <w:lang w:val="en-US" w:eastAsia="zh-CN"/>
              </w:rPr>
              <w:t>至少2芯</w:t>
            </w:r>
            <w:r>
              <w:rPr>
                <w:rFonts w:hint="eastAsia" w:ascii="宋体" w:hAnsi="宋体" w:cs="宋体"/>
                <w:color w:val="auto"/>
                <w:highlight w:val="none"/>
              </w:rPr>
              <w:t>裸光纤专用线路，租用服务</w:t>
            </w:r>
            <w:r>
              <w:rPr>
                <w:rFonts w:hint="eastAsia" w:ascii="宋体" w:hAnsi="宋体" w:cs="宋体"/>
                <w:color w:val="auto"/>
                <w:highlight w:val="none"/>
                <w:lang w:val="en-US" w:eastAsia="zh-CN"/>
              </w:rPr>
              <w:t>和1条100M数据电路</w:t>
            </w:r>
            <w:r>
              <w:rPr>
                <w:rFonts w:hint="eastAsia" w:ascii="宋体" w:hAnsi="宋体" w:cs="宋体"/>
                <w:color w:val="auto"/>
                <w:highlight w:val="none"/>
              </w:rPr>
              <w:t>。其中：</w:t>
            </w:r>
          </w:p>
          <w:p w14:paraId="4954E5CE">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祼光纤</w:t>
            </w:r>
            <w:r>
              <w:rPr>
                <w:rFonts w:hint="eastAsia" w:ascii="宋体" w:hAnsi="宋体" w:cs="宋体"/>
                <w:color w:val="auto"/>
                <w:highlight w:val="none"/>
              </w:rPr>
              <w:t>线路本端：</w:t>
            </w:r>
            <w:r>
              <w:rPr>
                <w:rFonts w:hint="eastAsia" w:ascii="宋体" w:hAnsi="宋体" w:cs="宋体"/>
                <w:color w:val="auto"/>
                <w:highlight w:val="none"/>
                <w:lang w:val="en-US" w:eastAsia="zh-CN"/>
              </w:rPr>
              <w:t>中山一院广西医院</w:t>
            </w:r>
            <w:r>
              <w:rPr>
                <w:rFonts w:hint="eastAsia" w:ascii="宋体" w:hAnsi="宋体" w:cs="宋体"/>
                <w:color w:val="auto"/>
                <w:highlight w:val="none"/>
              </w:rPr>
              <w:t>机房；对端：</w:t>
            </w:r>
            <w:r>
              <w:rPr>
                <w:rFonts w:hint="eastAsia" w:ascii="宋体" w:hAnsi="宋体" w:cs="宋体"/>
                <w:color w:val="auto"/>
                <w:highlight w:val="none"/>
                <w:lang w:val="en-US" w:eastAsia="zh-CN"/>
              </w:rPr>
              <w:t>自治区人民医院桃源机房</w:t>
            </w:r>
            <w:r>
              <w:rPr>
                <w:rFonts w:hint="eastAsia" w:ascii="宋体" w:hAnsi="宋体" w:cs="宋体"/>
                <w:color w:val="auto"/>
                <w:highlight w:val="none"/>
              </w:rPr>
              <w:t>)。</w:t>
            </w:r>
          </w:p>
          <w:p w14:paraId="3D7B1E49">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数据电路</w:t>
            </w:r>
            <w:r>
              <w:rPr>
                <w:rFonts w:hint="eastAsia" w:ascii="宋体" w:hAnsi="宋体" w:cs="宋体"/>
                <w:color w:val="auto"/>
                <w:highlight w:val="none"/>
              </w:rPr>
              <w:t>线路本端：</w:t>
            </w:r>
            <w:r>
              <w:rPr>
                <w:rFonts w:hint="eastAsia" w:ascii="宋体" w:hAnsi="宋体" w:cs="宋体"/>
                <w:color w:val="auto"/>
                <w:highlight w:val="none"/>
                <w:lang w:val="en-US" w:eastAsia="zh-CN"/>
              </w:rPr>
              <w:t>中山一院广西医院</w:t>
            </w:r>
            <w:r>
              <w:rPr>
                <w:rFonts w:hint="eastAsia" w:ascii="宋体" w:hAnsi="宋体" w:cs="宋体"/>
                <w:color w:val="auto"/>
                <w:highlight w:val="none"/>
              </w:rPr>
              <w:t>机房；对端：卫健委大楼-健管中心</w:t>
            </w:r>
          </w:p>
          <w:p w14:paraId="7F58E30C">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二</w:t>
            </w:r>
            <w:r>
              <w:rPr>
                <w:rFonts w:hint="eastAsia" w:ascii="宋体" w:hAnsi="宋体" w:cs="宋体"/>
                <w:color w:val="auto"/>
                <w:highlight w:val="none"/>
              </w:rPr>
              <w:t>）纤服务时间：</w:t>
            </w:r>
            <w:r>
              <w:rPr>
                <w:rFonts w:hint="eastAsia" w:ascii="宋体" w:hAnsi="宋体" w:cs="宋体"/>
                <w:color w:val="auto"/>
                <w:highlight w:val="none"/>
                <w:lang w:val="en-US" w:eastAsia="zh-CN"/>
              </w:rPr>
              <w:t>1</w:t>
            </w:r>
            <w:r>
              <w:rPr>
                <w:rFonts w:hint="eastAsia" w:ascii="宋体" w:hAnsi="宋体" w:cs="宋体"/>
                <w:color w:val="auto"/>
                <w:highlight w:val="none"/>
              </w:rPr>
              <w:t>年；</w:t>
            </w:r>
          </w:p>
          <w:p w14:paraId="786382F6">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三</w:t>
            </w:r>
            <w:r>
              <w:rPr>
                <w:rFonts w:hint="eastAsia" w:ascii="宋体" w:hAnsi="宋体" w:cs="宋体"/>
                <w:color w:val="auto"/>
                <w:highlight w:val="none"/>
              </w:rPr>
              <w:t>）裸光纤线路技术参数要求-建设与使用要求</w:t>
            </w:r>
          </w:p>
          <w:p w14:paraId="4B2F8923">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1．光纤及光纤适配器要求：采用单模光纤连接（裸芯直通）分别连接医院各地点；连接的光纤属同一光缆纤芯组(同品牌、同材料型、同生产技术方法、同一折射率分布)，中间无交接和光中继点设备，一次性铺设完成，在机房的两端按技术标准和机房硬件条件安装光纤配线架的光纤适配器。</w:t>
            </w:r>
          </w:p>
          <w:p w14:paraId="1483BE95">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2．光纤使用环境要求：非损坏情况下免维护可在全环境下正常使用（适应温度-10℃～80℃，不受湿度、民用污水浸泡、气体环境影响）。</w:t>
            </w:r>
          </w:p>
          <w:p w14:paraId="07FF5A51">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使用光纤要符合ITU－TG.652系列、GB/T9771系列2008标准</w:t>
            </w:r>
          </w:p>
          <w:p w14:paraId="282F447E">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3．支持≥10Gbit/s 以太网的传输速度。</w:t>
            </w:r>
          </w:p>
          <w:p w14:paraId="2457F202">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4. 支持≥16Gbit/s FC SAN存储网络传输速度。</w:t>
            </w:r>
          </w:p>
          <w:p w14:paraId="30345534">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5．光纤路程≥50公里，每芯全程总衰减（1310、1550波长不含最终两端适配器）≤20dB。</w:t>
            </w:r>
          </w:p>
          <w:p w14:paraId="2578601A">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6．光纤衰减系数</w:t>
            </w:r>
          </w:p>
          <w:p w14:paraId="53CD2569">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（1）在1310 nm 波长上最大衰减系数： 0.35 dB/Km。</w:t>
            </w:r>
          </w:p>
          <w:p w14:paraId="01D915E7">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（2）在1285～1330 nm 波长范围内，任一波长上光纤的衰减系数与1310 nm 波长上的衰减系数相比，其差值不超过0.03 dB/Km。</w:t>
            </w:r>
          </w:p>
          <w:p w14:paraId="659BE2E5">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（3）在1550 nm 波长上最大衰减系数：0.25dB/Km, 在1480～1580 nm 波长范围内，任一波长上光纤的衰减系数与1550 nm 波长上的衰减系数相比，其差值不超过0.02dB/Km。</w:t>
            </w:r>
          </w:p>
          <w:p w14:paraId="44F29316">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（4）熔接接头衰减：平均值≤ 0.05dB，最大值≤0.08dB。</w:t>
            </w:r>
          </w:p>
          <w:p w14:paraId="6FFC0E81">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7．宏弯曲衰减</w:t>
            </w:r>
          </w:p>
          <w:p w14:paraId="2AFF9481">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在1550 nm 波长上的弯曲衰减特性,以37.5 mm 的弯曲半径松绕100圈后，衰减增加值≤0.1 dB。</w:t>
            </w:r>
          </w:p>
          <w:p w14:paraId="1295A614">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8．色散</w:t>
            </w:r>
          </w:p>
          <w:p w14:paraId="377581C9">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零色散波长范围为1300～1324nm ；最大零色散点斜率≤0.093ps/nm2.Km；在1288～1339 nm范围内色散≤3.5ps/nm.Km；在1271～1360 nm范围内色散≤5.3ps/nm.Km；1550 nm波长的色散系数≤18ps/nm.Km；在1480～1580 nm范围内色散≤20ps/nm.Km。</w:t>
            </w:r>
          </w:p>
          <w:p w14:paraId="7807A2A9">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9．截止波长</w:t>
            </w:r>
          </w:p>
          <w:p w14:paraId="39032746">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λcc：≤1260nm；λc：≤1250nm。</w:t>
            </w:r>
          </w:p>
          <w:p w14:paraId="12FCF093">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10．衰减不均匀性</w:t>
            </w:r>
          </w:p>
          <w:p w14:paraId="3D91EF1F">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最高值≤0.05dB。</w:t>
            </w:r>
          </w:p>
          <w:p w14:paraId="738FC44C">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11．温度环境</w:t>
            </w:r>
          </w:p>
          <w:p w14:paraId="1196C9F2">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工作时：0℃～＋60℃无衰减，－10℃～＋80℃光纤衰减变化≤0.05dB/Km。（按测试方法：IEC794－1－F1）</w:t>
            </w:r>
          </w:p>
          <w:p w14:paraId="31B28D63">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12．所用连接器</w:t>
            </w:r>
          </w:p>
          <w:p w14:paraId="2B63BE90">
            <w:pPr>
              <w:snapToGrid w:val="0"/>
              <w:ind w:left="105" w:leftChars="50" w:right="105" w:rightChars="50"/>
              <w:rPr>
                <w:rFonts w:hint="eastAsia" w:ascii="宋体" w:hAnsi="宋体" w:cs="宋体"/>
                <w:color w:val="auto"/>
                <w:highlight w:val="none"/>
              </w:rPr>
            </w:pPr>
            <w:r>
              <w:rPr>
                <w:rFonts w:hint="eastAsia" w:ascii="宋体" w:hAnsi="宋体" w:cs="宋体"/>
                <w:color w:val="auto"/>
                <w:highlight w:val="none"/>
              </w:rPr>
              <w:t>插入损耗（dB）≤0.20 ；最大插入损耗（dB）≤0.30 ；重复性（dB）≤0.10 ；互换性（dB）≤0.20。</w:t>
            </w:r>
          </w:p>
          <w:p w14:paraId="3E6D75A0">
            <w:pPr>
              <w:snapToGrid w:val="0"/>
              <w:ind w:right="105" w:rightChars="50"/>
              <w:rPr>
                <w:rFonts w:hint="eastAsia" w:ascii="宋体" w:hAnsi="宋体" w:cs="宋体"/>
                <w:color w:val="auto"/>
                <w:highlight w:val="none"/>
              </w:rPr>
            </w:pPr>
            <w:r>
              <w:rPr>
                <w:rFonts w:hint="eastAsia" w:ascii="宋体" w:hAnsi="宋体" w:cs="宋体"/>
                <w:color w:val="auto"/>
                <w:highlight w:val="none"/>
              </w:rPr>
              <w:t>（五）院内各楼宇间光缆、楼宇内部汇聚和接入光缆，供应商提供维保服务。如有光衰、断纤、氧化等问题，安排技术人员提供修复和维保服务。</w:t>
            </w:r>
          </w:p>
        </w:tc>
      </w:tr>
      <w:tr w14:paraId="51F09B9E">
        <w:tblPrEx>
          <w:shd w:val="clear" w:color="auto" w:fill="FFFFFF"/>
          <w:tblCellMar>
            <w:top w:w="0" w:type="dxa"/>
            <w:left w:w="0" w:type="dxa"/>
            <w:bottom w:w="0" w:type="dxa"/>
            <w:right w:w="0" w:type="dxa"/>
          </w:tblCellMar>
        </w:tblPrEx>
        <w:trPr>
          <w:trHeight w:val="555" w:hRule="atLeast"/>
          <w:jc w:val="center"/>
        </w:trPr>
        <w:tc>
          <w:tcPr>
            <w:tcW w:w="991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380FA2">
            <w:pPr>
              <w:widowControl/>
              <w:snapToGrid w:val="0"/>
              <w:textAlignment w:val="center"/>
              <w:rPr>
                <w:rFonts w:hint="eastAsia" w:ascii="宋体" w:hAnsi="宋体" w:cs="宋体"/>
                <w:color w:val="auto"/>
                <w:kern w:val="0"/>
                <w:highlight w:val="none"/>
              </w:rPr>
            </w:pPr>
            <w:r>
              <w:rPr>
                <w:rFonts w:hint="eastAsia" w:ascii="宋体" w:hAnsi="宋体" w:cs="宋体"/>
                <w:b/>
                <w:color w:val="auto"/>
                <w:highlight w:val="none"/>
              </w:rPr>
              <w:t>二、商务要求</w:t>
            </w:r>
          </w:p>
        </w:tc>
      </w:tr>
      <w:tr w14:paraId="5CED0DCB">
        <w:tblPrEx>
          <w:shd w:val="clear" w:color="auto" w:fill="FFFFFF"/>
          <w:tblCellMar>
            <w:top w:w="0" w:type="dxa"/>
            <w:left w:w="0" w:type="dxa"/>
            <w:bottom w:w="0" w:type="dxa"/>
            <w:right w:w="0" w:type="dxa"/>
          </w:tblCellMar>
        </w:tblPrEx>
        <w:trPr>
          <w:trHeight w:val="55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6C1F6C">
            <w:pPr>
              <w:spacing w:line="360" w:lineRule="auto"/>
              <w:ind w:firstLine="210" w:firstLineChars="100"/>
              <w:jc w:val="left"/>
              <w:rPr>
                <w:rFonts w:hint="eastAsia" w:ascii="宋体" w:hAnsi="宋体" w:cs="宋体"/>
                <w:color w:val="auto"/>
                <w:highlight w:val="none"/>
              </w:rPr>
            </w:pPr>
            <w:r>
              <w:rPr>
                <w:rFonts w:hint="eastAsia" w:ascii="宋体" w:hAnsi="宋体" w:cs="宋体"/>
                <w:color w:val="auto"/>
                <w:highlight w:val="none"/>
              </w:rPr>
              <w:t>合同签订期</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3A1C13">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自成交通知书发出之日起</w:t>
            </w:r>
            <w:r>
              <w:rPr>
                <w:rFonts w:hint="eastAsia" w:ascii="宋体" w:hAnsi="宋体" w:cs="宋体"/>
                <w:color w:val="auto"/>
                <w:kern w:val="0"/>
                <w:highlight w:val="none"/>
                <w:lang w:val="en-US" w:eastAsia="zh-CN"/>
              </w:rPr>
              <w:t>15</w:t>
            </w:r>
            <w:r>
              <w:rPr>
                <w:rFonts w:hint="eastAsia" w:ascii="宋体" w:hAnsi="宋体" w:cs="宋体"/>
                <w:color w:val="auto"/>
                <w:kern w:val="0"/>
                <w:highlight w:val="none"/>
              </w:rPr>
              <w:t>日内。</w:t>
            </w:r>
          </w:p>
        </w:tc>
      </w:tr>
      <w:tr w14:paraId="098352D8">
        <w:tblPrEx>
          <w:shd w:val="clear" w:color="auto" w:fill="FFFFFF"/>
          <w:tblCellMar>
            <w:top w:w="0" w:type="dxa"/>
            <w:left w:w="0" w:type="dxa"/>
            <w:bottom w:w="0" w:type="dxa"/>
            <w:right w:w="0" w:type="dxa"/>
          </w:tblCellMar>
        </w:tblPrEx>
        <w:trPr>
          <w:trHeight w:val="55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D0A725">
            <w:pPr>
              <w:tabs>
                <w:tab w:val="left" w:pos="318"/>
              </w:tabs>
              <w:snapToGrid w:val="0"/>
              <w:ind w:leftChars="-8" w:hanging="17"/>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货物交付</w:t>
            </w:r>
            <w:r>
              <w:rPr>
                <w:rFonts w:hint="eastAsia" w:ascii="宋体" w:hAnsi="宋体" w:cs="宋体"/>
                <w:color w:val="auto"/>
                <w:highlight w:val="none"/>
              </w:rPr>
              <w:t>时间</w:t>
            </w:r>
          </w:p>
          <w:p w14:paraId="78624AED">
            <w:pPr>
              <w:widowControl/>
              <w:snapToGrid w:val="0"/>
              <w:jc w:val="center"/>
              <w:textAlignment w:val="center"/>
              <w:rPr>
                <w:rFonts w:hint="eastAsia" w:ascii="宋体" w:hAnsi="宋体" w:cs="宋体"/>
                <w:color w:val="auto"/>
                <w:kern w:val="0"/>
                <w:highlight w:val="none"/>
              </w:rPr>
            </w:pPr>
            <w:r>
              <w:rPr>
                <w:rFonts w:hint="eastAsia" w:ascii="宋体" w:hAnsi="宋体" w:cs="宋体"/>
                <w:color w:val="auto"/>
                <w:highlight w:val="none"/>
              </w:rPr>
              <w:t>及地点</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9959ED">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交付时间</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自成交通知书发出10个工作日内</w:t>
            </w:r>
            <w:r>
              <w:rPr>
                <w:rFonts w:hint="eastAsia" w:ascii="宋体" w:hAnsi="宋体" w:cs="宋体"/>
                <w:color w:val="auto"/>
                <w:kern w:val="0"/>
                <w:highlight w:val="none"/>
              </w:rPr>
              <w:t>；</w:t>
            </w:r>
          </w:p>
          <w:p w14:paraId="0344166F">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2.交付地点：</w:t>
            </w:r>
            <w:r>
              <w:rPr>
                <w:rFonts w:hint="eastAsia" w:ascii="宋体" w:hAnsi="宋体" w:cs="宋体"/>
                <w:color w:val="auto"/>
                <w:kern w:val="0"/>
                <w:highlight w:val="none"/>
                <w:lang w:val="en-US" w:eastAsia="zh-CN"/>
              </w:rPr>
              <w:t>中山大学附属第一医院广西医院</w:t>
            </w:r>
            <w:r>
              <w:rPr>
                <w:rFonts w:hint="eastAsia" w:ascii="宋体" w:hAnsi="宋体" w:cs="宋体"/>
                <w:color w:val="auto"/>
                <w:kern w:val="0"/>
                <w:highlight w:val="none"/>
              </w:rPr>
              <w:t>。</w:t>
            </w:r>
          </w:p>
        </w:tc>
      </w:tr>
      <w:tr w14:paraId="36298472">
        <w:tblPrEx>
          <w:shd w:val="clear" w:color="auto" w:fill="FFFFFF"/>
          <w:tblCellMar>
            <w:top w:w="0" w:type="dxa"/>
            <w:left w:w="0" w:type="dxa"/>
            <w:bottom w:w="0" w:type="dxa"/>
            <w:right w:w="0" w:type="dxa"/>
          </w:tblCellMar>
        </w:tblPrEx>
        <w:trPr>
          <w:trHeight w:val="55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D31250">
            <w:pPr>
              <w:widowControl/>
              <w:snapToGrid w:val="0"/>
              <w:jc w:val="center"/>
              <w:textAlignment w:val="center"/>
              <w:rPr>
                <w:rFonts w:hint="eastAsia" w:ascii="宋体" w:hAnsi="宋体" w:cs="宋体"/>
                <w:color w:val="auto"/>
                <w:kern w:val="0"/>
                <w:highlight w:val="none"/>
              </w:rPr>
            </w:pPr>
            <w:r>
              <w:rPr>
                <w:rFonts w:hint="eastAsia" w:ascii="宋体" w:hAnsi="宋体" w:cs="宋体"/>
                <w:color w:val="auto"/>
                <w:highlight w:val="none"/>
              </w:rPr>
              <w:t>▲质保期限</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136A55">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按国家有关规定实行产品“三包”。 安装调试，必须满足各点之间信息传输及存储调试开通业务的要求。</w:t>
            </w:r>
          </w:p>
        </w:tc>
      </w:tr>
      <w:tr w14:paraId="3A03969F">
        <w:tblPrEx>
          <w:shd w:val="clear" w:color="auto" w:fill="FFFFFF"/>
          <w:tblCellMar>
            <w:top w:w="0" w:type="dxa"/>
            <w:left w:w="0" w:type="dxa"/>
            <w:bottom w:w="0" w:type="dxa"/>
            <w:right w:w="0" w:type="dxa"/>
          </w:tblCellMar>
        </w:tblPrEx>
        <w:trPr>
          <w:trHeight w:val="55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CB5436">
            <w:pPr>
              <w:tabs>
                <w:tab w:val="left" w:pos="132"/>
              </w:tabs>
              <w:snapToGrid w:val="0"/>
              <w:ind w:left="256" w:leftChars="97" w:hanging="52"/>
              <w:jc w:val="center"/>
              <w:rPr>
                <w:rFonts w:hint="eastAsia" w:ascii="宋体" w:hAnsi="宋体" w:cs="宋体"/>
                <w:color w:val="auto"/>
                <w:highlight w:val="none"/>
              </w:rPr>
            </w:pPr>
            <w:r>
              <w:rPr>
                <w:rFonts w:hint="eastAsia" w:ascii="宋体" w:hAnsi="宋体" w:cs="宋体"/>
                <w:color w:val="auto"/>
                <w:highlight w:val="none"/>
              </w:rPr>
              <w:t>▲售后服务</w:t>
            </w:r>
          </w:p>
          <w:p w14:paraId="4920A5CD">
            <w:pPr>
              <w:widowControl/>
              <w:snapToGrid w:val="0"/>
              <w:jc w:val="center"/>
              <w:textAlignment w:val="center"/>
              <w:rPr>
                <w:rFonts w:hint="eastAsia" w:ascii="宋体" w:hAnsi="宋体" w:cs="宋体"/>
                <w:color w:val="auto"/>
                <w:kern w:val="0"/>
                <w:highlight w:val="none"/>
              </w:rPr>
            </w:pPr>
            <w:r>
              <w:rPr>
                <w:rFonts w:hint="eastAsia" w:ascii="宋体" w:hAnsi="宋体" w:cs="宋体"/>
                <w:color w:val="auto"/>
                <w:highlight w:val="none"/>
              </w:rPr>
              <w:t>要求</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917379">
            <w:pPr>
              <w:widowControl/>
              <w:snapToGrid w:val="0"/>
              <w:ind w:left="210" w:leftChars="100" w:right="105" w:rightChars="50"/>
              <w:textAlignment w:val="center"/>
              <w:rPr>
                <w:rFonts w:hint="eastAsia" w:ascii="宋体" w:hAnsi="宋体" w:cs="宋体"/>
                <w:color w:val="auto"/>
                <w:highlight w:val="none"/>
              </w:rPr>
            </w:pPr>
            <w:r>
              <w:rPr>
                <w:rFonts w:hint="eastAsia" w:ascii="宋体" w:hAnsi="宋体" w:cs="宋体"/>
                <w:color w:val="auto"/>
                <w:highlight w:val="none"/>
              </w:rPr>
              <w:t>1.每半年提供一次项目包含的所有设施设备和院内所有楼宇光缆设施设备进行例行巡检和清洁，保证链路质量和安全性。出具巡检报告和网络质量检测报告，附带供应商公章，一年至少2份。</w:t>
            </w:r>
          </w:p>
          <w:p w14:paraId="1B0C7247">
            <w:pPr>
              <w:widowControl/>
              <w:snapToGrid w:val="0"/>
              <w:ind w:left="210" w:leftChars="100" w:right="105" w:rightChars="50"/>
              <w:textAlignment w:val="center"/>
              <w:rPr>
                <w:rFonts w:hint="eastAsia" w:ascii="宋体" w:hAnsi="宋体" w:cs="宋体"/>
                <w:color w:val="auto"/>
                <w:highlight w:val="none"/>
              </w:rPr>
            </w:pPr>
            <w:r>
              <w:rPr>
                <w:rFonts w:hint="eastAsia" w:ascii="宋体" w:hAnsi="宋体" w:cs="宋体"/>
                <w:color w:val="auto"/>
                <w:highlight w:val="none"/>
              </w:rPr>
              <w:t>2.因成交供应商施工网络割接等原因影响网络运行的，须至少提前3个工作日通知</w:t>
            </w:r>
            <w:r>
              <w:rPr>
                <w:rFonts w:hint="eastAsia" w:ascii="宋体" w:hAnsi="宋体" w:cs="宋体"/>
                <w:color w:val="auto"/>
                <w:highlight w:val="none"/>
                <w:lang w:val="en-US" w:eastAsia="zh-CN"/>
              </w:rPr>
              <w:t>医院方</w:t>
            </w:r>
            <w:r>
              <w:rPr>
                <w:rFonts w:hint="eastAsia" w:ascii="宋体" w:hAnsi="宋体" w:cs="宋体"/>
                <w:color w:val="auto"/>
                <w:highlight w:val="none"/>
              </w:rPr>
              <w:t>，并且尽快消除故障、恢复通信线路。</w:t>
            </w:r>
          </w:p>
          <w:p w14:paraId="23CBAAA0">
            <w:pPr>
              <w:widowControl/>
              <w:snapToGrid w:val="0"/>
              <w:ind w:left="210" w:leftChars="100" w:right="105" w:rightChars="50"/>
              <w:textAlignment w:val="center"/>
              <w:rPr>
                <w:rFonts w:hint="eastAsia" w:ascii="宋体" w:hAnsi="宋体" w:cs="宋体"/>
                <w:color w:val="auto"/>
                <w:highlight w:val="none"/>
              </w:rPr>
            </w:pPr>
            <w:r>
              <w:rPr>
                <w:rFonts w:hint="eastAsia" w:ascii="宋体" w:hAnsi="宋体" w:cs="宋体"/>
                <w:color w:val="auto"/>
                <w:highlight w:val="none"/>
              </w:rPr>
              <w:t>3.成交供应商必须承诺保证网络的畅通，负责</w:t>
            </w:r>
            <w:r>
              <w:rPr>
                <w:rFonts w:hint="eastAsia" w:ascii="宋体" w:hAnsi="宋体" w:cs="宋体"/>
                <w:color w:val="auto"/>
                <w:highlight w:val="none"/>
                <w:lang w:val="en-US" w:eastAsia="zh-CN"/>
              </w:rPr>
              <w:t>医院方</w:t>
            </w:r>
            <w:r>
              <w:rPr>
                <w:rFonts w:hint="eastAsia" w:ascii="宋体" w:hAnsi="宋体" w:cs="宋体"/>
                <w:color w:val="auto"/>
                <w:highlight w:val="none"/>
              </w:rPr>
              <w:t>与本项目租用光纤线路连接的光收发设备免费运行维护；如果网络出现问题必须在接到报告后15 分钟内给予回应， 1个小时内到达现场，负责排除故障，直到网络恢复正常，如与本项目租用光纤线路连接的光收发设备故障在 2小时内无法解决的应免费提供备件，确保网络正常运行。</w:t>
            </w:r>
          </w:p>
          <w:p w14:paraId="2D390C4D">
            <w:pPr>
              <w:widowControl/>
              <w:snapToGrid w:val="0"/>
              <w:ind w:left="210" w:leftChars="100" w:right="105" w:rightChars="50"/>
              <w:textAlignment w:val="center"/>
              <w:rPr>
                <w:rFonts w:hint="eastAsia" w:ascii="宋体" w:hAnsi="宋体" w:cs="宋体"/>
                <w:color w:val="auto"/>
                <w:highlight w:val="none"/>
              </w:rPr>
            </w:pPr>
            <w:r>
              <w:rPr>
                <w:rFonts w:hint="eastAsia" w:ascii="宋体" w:hAnsi="宋体" w:cs="宋体"/>
                <w:color w:val="auto"/>
                <w:highlight w:val="none"/>
              </w:rPr>
              <w:t>4.在运维服务期内，成交供应商负责对本项目租用光纤线路进行日常巡检及维护，并按月提交运维服务分析报告，内容须包含线路流量、故障使用及维护建议等内容。</w:t>
            </w:r>
          </w:p>
          <w:p w14:paraId="5DB1989B">
            <w:pPr>
              <w:widowControl/>
              <w:snapToGrid w:val="0"/>
              <w:ind w:left="210" w:leftChars="100" w:right="105" w:rightChars="50"/>
              <w:textAlignment w:val="center"/>
              <w:rPr>
                <w:rFonts w:hint="eastAsia" w:ascii="宋体" w:hAnsi="宋体" w:cs="宋体"/>
                <w:color w:val="auto"/>
                <w:highlight w:val="none"/>
              </w:rPr>
            </w:pPr>
            <w:r>
              <w:rPr>
                <w:rFonts w:hint="eastAsia" w:ascii="宋体" w:hAnsi="宋体" w:cs="宋体"/>
                <w:color w:val="auto"/>
                <w:highlight w:val="none"/>
              </w:rPr>
              <w:t>5.在合同有效期内，</w:t>
            </w:r>
            <w:r>
              <w:rPr>
                <w:rFonts w:hint="eastAsia" w:ascii="宋体" w:hAnsi="宋体" w:cs="宋体"/>
                <w:color w:val="auto"/>
                <w:highlight w:val="none"/>
                <w:lang w:eastAsia="zh-CN"/>
              </w:rPr>
              <w:t>医院方</w:t>
            </w:r>
            <w:r>
              <w:rPr>
                <w:rFonts w:hint="eastAsia" w:ascii="宋体" w:hAnsi="宋体" w:cs="宋体"/>
                <w:color w:val="auto"/>
                <w:highlight w:val="none"/>
              </w:rPr>
              <w:t>线路使用地点若发生变更，成交供应商负责免费移装，并及时接通新迁点的租用电路。</w:t>
            </w:r>
          </w:p>
          <w:p w14:paraId="07E437BB">
            <w:pPr>
              <w:widowControl/>
              <w:snapToGrid w:val="0"/>
              <w:ind w:left="210" w:leftChars="100" w:right="105" w:rightChars="50"/>
              <w:textAlignment w:val="center"/>
              <w:rPr>
                <w:rFonts w:hint="eastAsia" w:ascii="宋体" w:hAnsi="Courier New" w:cs="Courier New"/>
                <w:color w:val="auto"/>
                <w:highlight w:val="none"/>
              </w:rPr>
            </w:pPr>
            <w:r>
              <w:rPr>
                <w:rFonts w:hint="eastAsia" w:ascii="宋体" w:hAnsi="宋体" w:cs="宋体"/>
                <w:color w:val="auto"/>
                <w:highlight w:val="none"/>
              </w:rPr>
              <w:t>6.供应商响应时，提供拟投入</w:t>
            </w:r>
            <w:r>
              <w:rPr>
                <w:rFonts w:hint="eastAsia" w:ascii="宋体" w:hAnsi="宋体"/>
                <w:color w:val="auto"/>
                <w:highlight w:val="none"/>
              </w:rPr>
              <w:t>本项目</w:t>
            </w:r>
            <w:r>
              <w:rPr>
                <w:rFonts w:hint="eastAsia" w:ascii="宋体" w:hAnsi="Courier New" w:cs="Courier New"/>
                <w:color w:val="auto"/>
                <w:highlight w:val="none"/>
                <w:lang w:eastAsia="zh-CN"/>
              </w:rPr>
              <w:t>实施人员（包含</w:t>
            </w:r>
            <w:r>
              <w:rPr>
                <w:rFonts w:hint="eastAsia" w:ascii="宋体" w:hAnsi="宋体" w:cs="宋体"/>
                <w:color w:val="auto"/>
                <w:highlight w:val="none"/>
              </w:rPr>
              <w:t>服务的客户经理和技术接口人</w:t>
            </w:r>
            <w:r>
              <w:rPr>
                <w:rFonts w:hint="eastAsia" w:ascii="宋体" w:hAnsi="Courier New" w:cs="Courier New"/>
                <w:color w:val="auto"/>
                <w:highlight w:val="none"/>
                <w:lang w:eastAsia="zh-CN"/>
              </w:rPr>
              <w:t>）的</w:t>
            </w:r>
            <w:r>
              <w:rPr>
                <w:rFonts w:hint="eastAsia" w:ascii="宋体" w:hAnsi="Courier New" w:cs="Courier New"/>
                <w:color w:val="auto"/>
                <w:highlight w:val="none"/>
              </w:rPr>
              <w:t>联系方式。</w:t>
            </w:r>
          </w:p>
          <w:p w14:paraId="7F3063B8">
            <w:pPr>
              <w:widowControl/>
              <w:snapToGrid w:val="0"/>
              <w:ind w:left="210" w:leftChars="100" w:right="105" w:rightChars="50"/>
              <w:textAlignment w:val="center"/>
              <w:rPr>
                <w:rFonts w:ascii="宋体" w:hAnsi="宋体" w:cs="宋体"/>
                <w:color w:val="auto"/>
                <w:highlight w:val="none"/>
              </w:rPr>
            </w:pPr>
            <w:r>
              <w:rPr>
                <w:rFonts w:hint="eastAsia" w:ascii="宋体" w:hAnsi="宋体" w:cs="宋体"/>
                <w:color w:val="auto"/>
                <w:highlight w:val="none"/>
              </w:rPr>
              <w:t>7.由于政策原因、机构改革业务调整等原因，</w:t>
            </w:r>
            <w:r>
              <w:rPr>
                <w:rFonts w:hint="eastAsia" w:ascii="宋体" w:hAnsi="宋体" w:cs="宋体"/>
                <w:color w:val="auto"/>
                <w:highlight w:val="none"/>
                <w:lang w:eastAsia="zh-CN"/>
              </w:rPr>
              <w:t>医院方</w:t>
            </w:r>
            <w:r>
              <w:rPr>
                <w:rFonts w:hint="eastAsia" w:ascii="宋体" w:hAnsi="宋体" w:cs="宋体"/>
                <w:color w:val="auto"/>
                <w:highlight w:val="none"/>
              </w:rPr>
              <w:t>有权提前停止光纤租用业务的使用，终止合同的执行，在终止合同前</w:t>
            </w:r>
            <w:r>
              <w:rPr>
                <w:rFonts w:hint="eastAsia" w:ascii="宋体" w:hAnsi="宋体" w:cs="宋体"/>
                <w:color w:val="auto"/>
                <w:highlight w:val="none"/>
                <w:lang w:eastAsia="zh-CN"/>
              </w:rPr>
              <w:t>医院方</w:t>
            </w:r>
            <w:r>
              <w:rPr>
                <w:rFonts w:hint="eastAsia" w:ascii="宋体" w:hAnsi="宋体" w:cs="宋体"/>
                <w:color w:val="auto"/>
                <w:highlight w:val="none"/>
              </w:rPr>
              <w:t>提前函购供应商。已使用光纤租费按告知函发出当月计算。</w:t>
            </w:r>
          </w:p>
        </w:tc>
      </w:tr>
      <w:tr w14:paraId="4DDA6498">
        <w:tblPrEx>
          <w:shd w:val="clear" w:color="auto" w:fill="FFFFFF"/>
          <w:tblCellMar>
            <w:top w:w="0" w:type="dxa"/>
            <w:left w:w="0" w:type="dxa"/>
            <w:bottom w:w="0" w:type="dxa"/>
            <w:right w:w="0" w:type="dxa"/>
          </w:tblCellMar>
        </w:tblPrEx>
        <w:trPr>
          <w:trHeight w:val="55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C863CE">
            <w:pPr>
              <w:widowControl/>
              <w:snapToGrid w:val="0"/>
              <w:jc w:val="center"/>
              <w:textAlignment w:val="center"/>
              <w:rPr>
                <w:rFonts w:ascii="宋体" w:hAnsi="宋体" w:cs="宋体"/>
                <w:color w:val="auto"/>
                <w:highlight w:val="none"/>
              </w:rPr>
            </w:pPr>
            <w:r>
              <w:rPr>
                <w:rFonts w:hint="eastAsia" w:ascii="宋体" w:hAnsi="宋体" w:cs="宋体"/>
                <w:color w:val="auto"/>
                <w:highlight w:val="none"/>
              </w:rPr>
              <w:t>▲其他要求</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8B3D5E">
            <w:pPr>
              <w:widowControl/>
              <w:snapToGrid w:val="0"/>
              <w:ind w:left="210" w:leftChars="100" w:right="105" w:rightChars="50"/>
              <w:textAlignment w:val="center"/>
              <w:rPr>
                <w:rFonts w:hint="eastAsia" w:ascii="宋体" w:hAnsi="宋体" w:cs="宋体"/>
                <w:color w:val="auto"/>
                <w:highlight w:val="none"/>
              </w:rPr>
            </w:pPr>
            <w:r>
              <w:rPr>
                <w:rFonts w:hint="eastAsia" w:ascii="宋体" w:hAnsi="宋体" w:cs="宋体"/>
                <w:color w:val="auto"/>
                <w:highlight w:val="none"/>
              </w:rPr>
              <w:t>供应商应该在响应文件中提供本项目具体详细的技术方案、售后服务方案、传输的保障服务方案（包括但不仅限于以下内容：对总体需求的理解，对关键技术点描述，线路租赁需求的满足程度，线路的稳定性和安全性，是否可以保障业务系统完全不受影响；施工方案：组织机构，实施人员配备，实施流程，进度计划，合理的建议等）。</w:t>
            </w:r>
          </w:p>
        </w:tc>
      </w:tr>
      <w:tr w14:paraId="74215B47">
        <w:tblPrEx>
          <w:shd w:val="clear" w:color="auto" w:fill="FFFFFF"/>
          <w:tblCellMar>
            <w:top w:w="0" w:type="dxa"/>
            <w:left w:w="0" w:type="dxa"/>
            <w:bottom w:w="0" w:type="dxa"/>
            <w:right w:w="0" w:type="dxa"/>
          </w:tblCellMar>
        </w:tblPrEx>
        <w:trPr>
          <w:trHeight w:val="55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D1373B">
            <w:pPr>
              <w:widowControl/>
              <w:snapToGrid w:val="0"/>
              <w:jc w:val="center"/>
              <w:textAlignment w:val="center"/>
              <w:rPr>
                <w:rFonts w:hint="eastAsia" w:ascii="宋体" w:hAnsi="宋体" w:cs="宋体"/>
                <w:color w:val="auto"/>
                <w:kern w:val="0"/>
                <w:highlight w:val="none"/>
              </w:rPr>
            </w:pPr>
            <w:r>
              <w:rPr>
                <w:rFonts w:hint="eastAsia" w:ascii="宋体" w:hAnsi="宋体" w:cs="宋体"/>
                <w:color w:val="auto"/>
                <w:highlight w:val="none"/>
              </w:rPr>
              <w:t>付款方式</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D3A0F6">
            <w:pPr>
              <w:widowControl/>
              <w:snapToGrid w:val="0"/>
              <w:ind w:left="210" w:leftChars="100" w:right="105" w:rightChars="50"/>
              <w:textAlignment w:val="center"/>
              <w:rPr>
                <w:rFonts w:hint="eastAsia" w:ascii="宋体" w:hAnsi="宋体" w:cs="宋体"/>
                <w:color w:val="auto"/>
                <w:highlight w:val="none"/>
              </w:rPr>
            </w:pPr>
            <w:r>
              <w:rPr>
                <w:rFonts w:hint="eastAsia" w:ascii="宋体" w:hAnsi="宋体" w:cs="宋体"/>
                <w:color w:val="auto"/>
                <w:highlight w:val="none"/>
              </w:rPr>
              <w:t>本项目无预付款，成交供应商提供服务并经</w:t>
            </w:r>
            <w:r>
              <w:rPr>
                <w:rFonts w:hint="eastAsia" w:ascii="宋体" w:hAnsi="宋体" w:cs="宋体"/>
                <w:color w:val="auto"/>
                <w:highlight w:val="none"/>
                <w:lang w:eastAsia="zh-CN"/>
              </w:rPr>
              <w:t>医院方</w:t>
            </w:r>
            <w:r>
              <w:rPr>
                <w:rFonts w:hint="eastAsia" w:ascii="宋体" w:hAnsi="宋体" w:cs="宋体"/>
                <w:color w:val="auto"/>
                <w:highlight w:val="none"/>
              </w:rPr>
              <w:t>验收合格后，自合同签订之日起，按</w:t>
            </w:r>
            <w:r>
              <w:rPr>
                <w:rFonts w:hint="eastAsia" w:ascii="宋体" w:hAnsi="宋体" w:cs="宋体"/>
                <w:color w:val="auto"/>
                <w:highlight w:val="none"/>
                <w:lang w:val="en-US" w:eastAsia="zh-CN"/>
              </w:rPr>
              <w:t>半年</w:t>
            </w:r>
            <w:r>
              <w:rPr>
                <w:rFonts w:hint="eastAsia" w:ascii="宋体" w:hAnsi="宋体" w:cs="宋体"/>
                <w:color w:val="auto"/>
                <w:highlight w:val="none"/>
              </w:rPr>
              <w:t>支付租赁服务费，每</w:t>
            </w:r>
            <w:r>
              <w:rPr>
                <w:rFonts w:hint="eastAsia" w:ascii="宋体" w:hAnsi="宋体" w:cs="宋体"/>
                <w:color w:val="auto"/>
                <w:highlight w:val="none"/>
                <w:lang w:val="en-US" w:eastAsia="zh-CN"/>
              </w:rPr>
              <w:t>半年</w:t>
            </w:r>
            <w:r>
              <w:rPr>
                <w:rFonts w:hint="eastAsia" w:ascii="宋体" w:hAnsi="宋体" w:cs="宋体"/>
                <w:color w:val="auto"/>
                <w:highlight w:val="none"/>
              </w:rPr>
              <w:t>首月完成支付当季度的租赁服务费。成交供应商应向</w:t>
            </w:r>
            <w:r>
              <w:rPr>
                <w:rFonts w:hint="eastAsia" w:ascii="宋体" w:hAnsi="宋体" w:cs="宋体"/>
                <w:color w:val="auto"/>
                <w:highlight w:val="none"/>
                <w:lang w:eastAsia="zh-CN"/>
              </w:rPr>
              <w:t>医院方</w:t>
            </w:r>
            <w:r>
              <w:rPr>
                <w:rFonts w:hint="eastAsia" w:ascii="宋体" w:hAnsi="宋体" w:cs="宋体"/>
                <w:color w:val="auto"/>
                <w:highlight w:val="none"/>
              </w:rPr>
              <w:t>开具等额有效的增值税发票。</w:t>
            </w:r>
          </w:p>
          <w:p w14:paraId="783709A1">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highlight w:val="none"/>
              </w:rPr>
              <w:t>付款方式：银行转账。</w:t>
            </w:r>
          </w:p>
        </w:tc>
      </w:tr>
      <w:tr w14:paraId="6D4B98D2">
        <w:tblPrEx>
          <w:shd w:val="clear" w:color="auto" w:fill="FFFFFF"/>
          <w:tblCellMar>
            <w:top w:w="0" w:type="dxa"/>
            <w:left w:w="0" w:type="dxa"/>
            <w:bottom w:w="0" w:type="dxa"/>
            <w:right w:w="0" w:type="dxa"/>
          </w:tblCellMar>
        </w:tblPrEx>
        <w:trPr>
          <w:trHeight w:val="1711"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071E8C">
            <w:pPr>
              <w:widowControl/>
              <w:snapToGrid w:val="0"/>
              <w:jc w:val="center"/>
              <w:textAlignment w:val="center"/>
              <w:rPr>
                <w:rFonts w:hint="eastAsia" w:ascii="宋体" w:hAnsi="宋体" w:cs="宋体"/>
                <w:color w:val="auto"/>
                <w:kern w:val="0"/>
                <w:highlight w:val="none"/>
              </w:rPr>
            </w:pPr>
            <w:r>
              <w:rPr>
                <w:rFonts w:hint="eastAsia" w:ascii="宋体" w:hAnsi="宋体" w:cs="宋体"/>
                <w:color w:val="auto"/>
                <w:highlight w:val="none"/>
              </w:rPr>
              <w:t>▲报价要求</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75C15F">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报价须</w:t>
            </w:r>
            <w:r>
              <w:rPr>
                <w:rFonts w:hint="eastAsia" w:ascii="宋体" w:hAnsi="宋体" w:cs="宋体"/>
                <w:color w:val="auto"/>
                <w:kern w:val="0"/>
                <w:highlight w:val="none"/>
                <w:lang w:val="en-US" w:eastAsia="zh-CN"/>
              </w:rPr>
              <w:t>为包干价，</w:t>
            </w:r>
            <w:r>
              <w:rPr>
                <w:rFonts w:hint="eastAsia" w:ascii="宋体" w:hAnsi="宋体" w:cs="宋体"/>
                <w:color w:val="auto"/>
                <w:kern w:val="0"/>
                <w:highlight w:val="none"/>
              </w:rPr>
              <w:t>含以下部分，</w:t>
            </w:r>
            <w:r>
              <w:rPr>
                <w:rFonts w:hint="eastAsia" w:ascii="宋体" w:hAnsi="宋体" w:cs="宋体"/>
                <w:color w:val="auto"/>
                <w:kern w:val="0"/>
                <w:highlight w:val="none"/>
                <w:lang w:val="en-US" w:eastAsia="zh-CN"/>
              </w:rPr>
              <w:t>包括但不限于</w:t>
            </w:r>
            <w:r>
              <w:rPr>
                <w:rFonts w:hint="eastAsia" w:ascii="宋体" w:hAnsi="宋体" w:cs="宋体"/>
                <w:color w:val="auto"/>
                <w:kern w:val="0"/>
                <w:highlight w:val="none"/>
              </w:rPr>
              <w:t>：</w:t>
            </w:r>
          </w:p>
          <w:p w14:paraId="547E0535">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1.租用服务的价格；</w:t>
            </w:r>
          </w:p>
          <w:p w14:paraId="12ED2936">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2.必要的保险费用和各项税金；</w:t>
            </w:r>
          </w:p>
          <w:p w14:paraId="38166A1F">
            <w:pPr>
              <w:widowControl/>
              <w:snapToGrid w:val="0"/>
              <w:ind w:left="210" w:leftChars="100" w:right="105" w:rightChars="50"/>
              <w:textAlignment w:val="center"/>
              <w:rPr>
                <w:rFonts w:hint="eastAsia" w:ascii="宋体" w:hAnsi="宋体" w:cs="宋体"/>
                <w:color w:val="auto"/>
                <w:kern w:val="0"/>
                <w:highlight w:val="none"/>
              </w:rPr>
            </w:pPr>
            <w:r>
              <w:rPr>
                <w:rFonts w:hint="eastAsia" w:ascii="宋体" w:hAnsi="宋体" w:cs="宋体"/>
                <w:color w:val="auto"/>
                <w:kern w:val="0"/>
                <w:highlight w:val="none"/>
              </w:rPr>
              <w:t>3.其他：运输、装卸、安装、迁移、调试、培训、系统实施（含咨询）、软件开发、技术支持、项目验收、售后服务、更新升级等完成本项目服务所有内容及其他所有可能发生的一切费用。</w:t>
            </w:r>
          </w:p>
          <w:p w14:paraId="4CED3E58">
            <w:pPr>
              <w:widowControl/>
              <w:snapToGrid w:val="0"/>
              <w:ind w:right="105" w:rightChars="50"/>
              <w:textAlignment w:val="center"/>
              <w:rPr>
                <w:rFonts w:hint="eastAsia" w:ascii="宋体" w:hAnsi="宋体" w:cs="宋体"/>
                <w:color w:val="auto"/>
                <w:kern w:val="0"/>
                <w:highlight w:val="none"/>
              </w:rPr>
            </w:pPr>
          </w:p>
        </w:tc>
      </w:tr>
      <w:tr w14:paraId="4E209AF1">
        <w:tblPrEx>
          <w:shd w:val="clear" w:color="auto" w:fill="FFFFFF"/>
          <w:tblCellMar>
            <w:top w:w="0" w:type="dxa"/>
            <w:left w:w="0" w:type="dxa"/>
            <w:bottom w:w="0" w:type="dxa"/>
            <w:right w:w="0" w:type="dxa"/>
          </w:tblCellMar>
        </w:tblPrEx>
        <w:trPr>
          <w:trHeight w:val="4479"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2845C5">
            <w:pPr>
              <w:tabs>
                <w:tab w:val="left" w:pos="132"/>
              </w:tabs>
              <w:snapToGrid w:val="0"/>
              <w:jc w:val="center"/>
              <w:rPr>
                <w:rFonts w:hint="eastAsia" w:ascii="宋体" w:hAnsi="宋体" w:cs="宋体"/>
                <w:color w:val="auto"/>
                <w:highlight w:val="none"/>
              </w:rPr>
            </w:pPr>
            <w:r>
              <w:rPr>
                <w:rFonts w:hint="eastAsia" w:ascii="宋体" w:hAnsi="宋体" w:cs="宋体"/>
                <w:color w:val="auto"/>
                <w:highlight w:val="none"/>
              </w:rPr>
              <w:t>验收标准</w:t>
            </w:r>
          </w:p>
          <w:p w14:paraId="2CABC58B">
            <w:pPr>
              <w:widowControl/>
              <w:snapToGrid w:val="0"/>
              <w:jc w:val="center"/>
              <w:textAlignment w:val="center"/>
              <w:rPr>
                <w:rFonts w:hint="eastAsia" w:ascii="宋体" w:hAnsi="宋体" w:cs="宋体"/>
                <w:color w:val="auto"/>
                <w:kern w:val="0"/>
                <w:highlight w:val="none"/>
              </w:rPr>
            </w:pPr>
            <w:r>
              <w:rPr>
                <w:rFonts w:hint="eastAsia" w:ascii="宋体" w:hAnsi="宋体" w:cs="宋体"/>
                <w:color w:val="auto"/>
                <w:highlight w:val="none"/>
              </w:rPr>
              <w:t>及要求</w:t>
            </w: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A7F1DF">
            <w:pPr>
              <w:widowControl/>
              <w:snapToGrid w:val="0"/>
              <w:ind w:left="210" w:leftChars="100" w:right="105" w:rightChars="50"/>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1.采购标的需执行的国家标准、行业标准、地方标准或者其他标准、规范。</w:t>
            </w:r>
          </w:p>
          <w:p w14:paraId="1CEF8D74">
            <w:pPr>
              <w:widowControl/>
              <w:snapToGrid w:val="0"/>
              <w:ind w:left="210" w:leftChars="100" w:right="105" w:rightChars="50"/>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2.供应商应按响应文件的承诺向</w:t>
            </w:r>
            <w:r>
              <w:rPr>
                <w:rFonts w:hint="eastAsia" w:ascii="宋体" w:hAnsi="宋体" w:cs="宋体"/>
                <w:color w:val="auto"/>
                <w:kern w:val="2"/>
                <w:highlight w:val="none"/>
                <w:lang w:eastAsia="zh-CN"/>
              </w:rPr>
              <w:t>医院方</w:t>
            </w:r>
            <w:r>
              <w:rPr>
                <w:rFonts w:hint="eastAsia" w:ascii="宋体" w:hAnsi="宋体" w:eastAsia="宋体" w:cs="宋体"/>
                <w:color w:val="auto"/>
                <w:kern w:val="2"/>
                <w:highlight w:val="none"/>
              </w:rPr>
              <w:t>提供相应的服务，并提供所服务内容的相关技术资料。</w:t>
            </w:r>
            <w:r>
              <w:rPr>
                <w:rFonts w:hint="eastAsia" w:ascii="宋体" w:hAnsi="宋体" w:cs="宋体"/>
                <w:color w:val="auto"/>
                <w:kern w:val="2"/>
                <w:highlight w:val="none"/>
                <w:lang w:eastAsia="zh-CN"/>
              </w:rPr>
              <w:t>医院方</w:t>
            </w:r>
            <w:r>
              <w:rPr>
                <w:rFonts w:hint="eastAsia" w:ascii="宋体" w:hAnsi="宋体" w:eastAsia="宋体" w:cs="宋体"/>
                <w:color w:val="auto"/>
                <w:kern w:val="2"/>
                <w:highlight w:val="none"/>
              </w:rPr>
              <w:t>对供应商提交的服务依据采购文件上的服务要求和国家有关质量标准进行现场初步验收，符合采购文件技术要求的，给予签收。</w:t>
            </w:r>
          </w:p>
          <w:p w14:paraId="2F0DEDEC">
            <w:pPr>
              <w:widowControl/>
              <w:snapToGrid w:val="0"/>
              <w:ind w:left="210" w:leftChars="100" w:right="105" w:rightChars="50"/>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3.供应商提供不符合响应文件的服务成果，</w:t>
            </w:r>
            <w:r>
              <w:rPr>
                <w:rFonts w:hint="eastAsia" w:ascii="宋体" w:hAnsi="宋体" w:cs="宋体"/>
                <w:color w:val="auto"/>
                <w:kern w:val="2"/>
                <w:highlight w:val="none"/>
                <w:lang w:eastAsia="zh-CN"/>
              </w:rPr>
              <w:t>医院方</w:t>
            </w:r>
            <w:r>
              <w:rPr>
                <w:rFonts w:hint="eastAsia" w:ascii="宋体" w:hAnsi="宋体" w:eastAsia="宋体" w:cs="宋体"/>
                <w:color w:val="auto"/>
                <w:kern w:val="2"/>
                <w:highlight w:val="none"/>
              </w:rPr>
              <w:t xml:space="preserve">有权拒绝接受。 </w:t>
            </w:r>
          </w:p>
          <w:p w14:paraId="7E4E6221">
            <w:pPr>
              <w:widowControl/>
              <w:snapToGrid w:val="0"/>
              <w:ind w:left="210" w:leftChars="100" w:right="105" w:rightChars="50"/>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4、供应商提交服务成果前应对提交的服务成果作出全面检查和对验收文件进行整理，并列出清单，作为</w:t>
            </w:r>
            <w:r>
              <w:rPr>
                <w:rFonts w:hint="eastAsia" w:ascii="宋体" w:hAnsi="宋体" w:cs="宋体"/>
                <w:color w:val="auto"/>
                <w:kern w:val="2"/>
                <w:highlight w:val="none"/>
                <w:lang w:eastAsia="zh-CN"/>
              </w:rPr>
              <w:t>医院方</w:t>
            </w:r>
            <w:r>
              <w:rPr>
                <w:rFonts w:hint="eastAsia" w:ascii="宋体" w:hAnsi="宋体" w:eastAsia="宋体" w:cs="宋体"/>
                <w:color w:val="auto"/>
                <w:kern w:val="2"/>
                <w:highlight w:val="none"/>
              </w:rPr>
              <w:t>验收和使用的技术条件依据，检验的结果应随服务成果交给</w:t>
            </w:r>
            <w:r>
              <w:rPr>
                <w:rFonts w:hint="eastAsia" w:ascii="宋体" w:hAnsi="宋体" w:cs="宋体"/>
                <w:color w:val="auto"/>
                <w:kern w:val="2"/>
                <w:highlight w:val="none"/>
                <w:lang w:eastAsia="zh-CN"/>
              </w:rPr>
              <w:t>医院方</w:t>
            </w:r>
            <w:r>
              <w:rPr>
                <w:rFonts w:hint="eastAsia" w:ascii="宋体" w:hAnsi="宋体" w:eastAsia="宋体" w:cs="宋体"/>
                <w:color w:val="auto"/>
                <w:kern w:val="2"/>
                <w:highlight w:val="none"/>
              </w:rPr>
              <w:t>。</w:t>
            </w:r>
          </w:p>
          <w:p w14:paraId="4DC26AEE">
            <w:pPr>
              <w:widowControl/>
              <w:snapToGrid w:val="0"/>
              <w:ind w:left="210" w:leftChars="100" w:right="105" w:rightChars="50"/>
              <w:textAlignment w:val="center"/>
              <w:rPr>
                <w:rFonts w:hint="eastAsia" w:ascii="宋体" w:hAnsi="宋体" w:eastAsia="宋体" w:cs="宋体"/>
                <w:color w:val="auto"/>
                <w:kern w:val="0"/>
                <w:highlight w:val="none"/>
              </w:rPr>
            </w:pPr>
            <w:r>
              <w:rPr>
                <w:rFonts w:hint="eastAsia" w:ascii="宋体" w:hAnsi="宋体" w:eastAsia="宋体" w:cs="宋体"/>
                <w:color w:val="auto"/>
                <w:kern w:val="2"/>
                <w:highlight w:val="none"/>
              </w:rPr>
              <w:t>5.若</w:t>
            </w:r>
            <w:r>
              <w:rPr>
                <w:rFonts w:hint="eastAsia" w:ascii="宋体" w:hAnsi="宋体" w:cs="宋体"/>
                <w:color w:val="auto"/>
                <w:kern w:val="2"/>
                <w:highlight w:val="none"/>
                <w:lang w:eastAsia="zh-CN"/>
              </w:rPr>
              <w:t>医院方</w:t>
            </w:r>
            <w:r>
              <w:rPr>
                <w:rFonts w:hint="eastAsia" w:ascii="宋体" w:hAnsi="宋体" w:eastAsia="宋体" w:cs="宋体"/>
                <w:color w:val="auto"/>
                <w:kern w:val="2"/>
                <w:highlight w:val="none"/>
              </w:rPr>
              <w:t>委托第三方组织的验收项目，其验收时间以该项目验收方案确定的验收时间为</w:t>
            </w:r>
            <w:r>
              <w:rPr>
                <w:rFonts w:hint="eastAsia" w:ascii="宋体" w:hAnsi="宋体" w:eastAsia="宋体" w:cs="宋体"/>
                <w:color w:val="auto"/>
                <w:kern w:val="0"/>
                <w:highlight w:val="none"/>
              </w:rPr>
              <w:t>准，验收结果以该项目验收报告结论为准。在验收过程中发现成交供应商有违约问题，可暂缓资金结算，待违约问题解决后，方可办理资金结算事宜，在此期间，</w:t>
            </w:r>
            <w:r>
              <w:rPr>
                <w:rFonts w:hint="eastAsia" w:ascii="宋体" w:hAnsi="宋体" w:cs="宋体"/>
                <w:color w:val="auto"/>
                <w:kern w:val="0"/>
                <w:highlight w:val="none"/>
                <w:lang w:eastAsia="zh-CN"/>
              </w:rPr>
              <w:t>医院方</w:t>
            </w:r>
            <w:r>
              <w:rPr>
                <w:rFonts w:hint="eastAsia" w:ascii="宋体" w:hAnsi="宋体" w:eastAsia="宋体" w:cs="宋体"/>
                <w:color w:val="auto"/>
                <w:kern w:val="0"/>
                <w:highlight w:val="none"/>
              </w:rPr>
              <w:t>不承担逾期付款责任。</w:t>
            </w:r>
          </w:p>
          <w:p w14:paraId="456C500E">
            <w:pPr>
              <w:widowControl/>
              <w:snapToGrid w:val="0"/>
              <w:ind w:left="210" w:leftChars="100" w:right="105" w:rightChars="5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6.验收时供应商必须在现场，验收完毕后作出验收结果报告；验收费用由供应商负责。</w:t>
            </w:r>
          </w:p>
          <w:p w14:paraId="5EBF359A">
            <w:pPr>
              <w:widowControl/>
              <w:snapToGrid w:val="0"/>
              <w:ind w:left="210" w:leftChars="100" w:right="105" w:rightChars="50"/>
              <w:textAlignment w:val="center"/>
              <w:rPr>
                <w:rFonts w:hint="eastAsia"/>
                <w:color w:val="auto"/>
                <w:highlight w:val="none"/>
              </w:rPr>
            </w:pPr>
            <w:r>
              <w:rPr>
                <w:rFonts w:hint="eastAsia" w:ascii="宋体" w:hAnsi="宋体" w:eastAsia="宋体" w:cs="宋体"/>
                <w:color w:val="auto"/>
                <w:kern w:val="0"/>
                <w:highlight w:val="none"/>
              </w:rPr>
              <w:t>7.</w:t>
            </w:r>
            <w:r>
              <w:rPr>
                <w:rFonts w:hint="eastAsia" w:ascii="宋体" w:hAnsi="宋体" w:cs="宋体"/>
                <w:color w:val="auto"/>
                <w:kern w:val="0"/>
                <w:highlight w:val="none"/>
                <w:lang w:eastAsia="zh-CN"/>
              </w:rPr>
              <w:t>医院方</w:t>
            </w:r>
            <w:r>
              <w:rPr>
                <w:rFonts w:hint="eastAsia" w:ascii="宋体" w:hAnsi="宋体" w:eastAsia="宋体" w:cs="宋体"/>
                <w:color w:val="auto"/>
                <w:kern w:val="0"/>
                <w:highlight w:val="none"/>
              </w:rPr>
              <w:t>对验收有异议的，在验收后以书面形式向成交供应商提出，成交供应商应自收到</w:t>
            </w:r>
            <w:r>
              <w:rPr>
                <w:rFonts w:hint="eastAsia" w:ascii="宋体" w:hAnsi="宋体" w:cs="宋体"/>
                <w:color w:val="auto"/>
                <w:kern w:val="0"/>
                <w:highlight w:val="none"/>
                <w:lang w:eastAsia="zh-CN"/>
              </w:rPr>
              <w:t>医院方</w:t>
            </w:r>
            <w:r>
              <w:rPr>
                <w:rFonts w:hint="eastAsia" w:ascii="宋体" w:hAnsi="宋体" w:eastAsia="宋体" w:cs="宋体"/>
                <w:color w:val="auto"/>
                <w:kern w:val="0"/>
                <w:highlight w:val="none"/>
              </w:rPr>
              <w:t>书面异议后五日内及时予以解决，成交供应商不予答复或未予以实质解决的，视为认可</w:t>
            </w:r>
            <w:r>
              <w:rPr>
                <w:rFonts w:hint="eastAsia" w:ascii="宋体" w:hAnsi="宋体" w:cs="宋体"/>
                <w:color w:val="auto"/>
                <w:kern w:val="0"/>
                <w:highlight w:val="none"/>
                <w:lang w:eastAsia="zh-CN"/>
              </w:rPr>
              <w:t>医院方</w:t>
            </w:r>
            <w:r>
              <w:rPr>
                <w:rFonts w:hint="eastAsia" w:ascii="宋体" w:hAnsi="宋体" w:eastAsia="宋体" w:cs="宋体"/>
                <w:color w:val="auto"/>
                <w:kern w:val="0"/>
                <w:highlight w:val="none"/>
              </w:rPr>
              <w:t>异议及处置意见。</w:t>
            </w:r>
          </w:p>
        </w:tc>
      </w:tr>
      <w:tr w14:paraId="6FAF7219">
        <w:tblPrEx>
          <w:shd w:val="clear" w:color="auto" w:fill="FFFFFF"/>
          <w:tblCellMar>
            <w:top w:w="0" w:type="dxa"/>
            <w:left w:w="0" w:type="dxa"/>
            <w:bottom w:w="0" w:type="dxa"/>
            <w:right w:w="0" w:type="dxa"/>
          </w:tblCellMar>
        </w:tblPrEx>
        <w:trPr>
          <w:trHeight w:val="55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264DE0">
            <w:pPr>
              <w:widowControl/>
              <w:snapToGrid w:val="0"/>
              <w:jc w:val="center"/>
              <w:textAlignment w:val="center"/>
              <w:rPr>
                <w:rFonts w:hint="eastAsia" w:ascii="宋体" w:hAnsi="宋体" w:cs="宋体"/>
                <w:color w:val="auto"/>
                <w:highlight w:val="none"/>
              </w:rPr>
            </w:pPr>
          </w:p>
        </w:tc>
        <w:tc>
          <w:tcPr>
            <w:tcW w:w="826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193038">
            <w:pPr>
              <w:widowControl/>
              <w:snapToGrid w:val="0"/>
              <w:ind w:left="210" w:leftChars="100" w:right="105" w:rightChars="50"/>
              <w:textAlignment w:val="center"/>
              <w:rPr>
                <w:rFonts w:hint="eastAsia"/>
                <w:color w:val="auto"/>
                <w:highlight w:val="none"/>
              </w:rPr>
            </w:pPr>
          </w:p>
        </w:tc>
      </w:tr>
    </w:tbl>
    <w:p w14:paraId="36F537DC">
      <w:pPr>
        <w:pStyle w:val="13"/>
        <w:ind w:left="0" w:leftChars="0" w:firstLine="0" w:firstLineChars="0"/>
        <w:rPr>
          <w:color w:val="auto"/>
          <w:highlight w:val="none"/>
        </w:rPr>
      </w:pPr>
    </w:p>
    <w:p w14:paraId="176BCBE9">
      <w:pPr>
        <w:pStyle w:val="13"/>
        <w:numPr>
          <w:ilvl w:val="0"/>
          <w:numId w:val="1"/>
        </w:numP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评分办法</w:t>
      </w:r>
    </w:p>
    <w:p w14:paraId="0C446736">
      <w:pPr>
        <w:spacing w:line="340" w:lineRule="exact"/>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评审依据：评审小组将以磋商响应文件为评审依据，对供应商的报价、商务、技术要求等方面内容按百分制打分。（计分方法按四舍五</w:t>
      </w:r>
      <w:r>
        <w:rPr>
          <w:rFonts w:hint="eastAsia" w:ascii="宋体" w:hAnsi="宋体" w:eastAsia="宋体" w:cs="宋体"/>
          <w:bCs/>
          <w:color w:val="auto"/>
          <w:sz w:val="18"/>
          <w:szCs w:val="18"/>
          <w:highlight w:val="none"/>
        </w:rPr>
        <w:t>入取至百分位）</w:t>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86"/>
        <w:gridCol w:w="969"/>
        <w:gridCol w:w="6878"/>
      </w:tblGrid>
      <w:tr w14:paraId="4F33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3" w:type="dxa"/>
            <w:gridSpan w:val="2"/>
            <w:tcBorders>
              <w:top w:val="single" w:color="auto" w:sz="4" w:space="0"/>
              <w:left w:val="single" w:color="auto" w:sz="4" w:space="0"/>
              <w:bottom w:val="single" w:color="auto" w:sz="4" w:space="0"/>
              <w:right w:val="single" w:color="auto" w:sz="4" w:space="0"/>
            </w:tcBorders>
            <w:noWrap/>
            <w:vAlign w:val="center"/>
          </w:tcPr>
          <w:p w14:paraId="218F3F41">
            <w:pPr>
              <w:adjustRightInd w:val="0"/>
              <w:jc w:val="center"/>
              <w:textAlignment w:val="baseline"/>
              <w:rPr>
                <w:rFonts w:ascii="Times New Roman" w:hAnsi="Times New Roman" w:eastAsia="宋体" w:cs="Times New Roman"/>
                <w:color w:val="auto"/>
                <w:sz w:val="22"/>
                <w:szCs w:val="22"/>
                <w:highlight w:val="none"/>
              </w:rPr>
            </w:pPr>
            <w:r>
              <w:rPr>
                <w:rFonts w:hint="default" w:ascii="Times New Roman" w:hAnsi="Times New Roman" w:eastAsia="宋体" w:cs="Times New Roman"/>
                <w:b/>
                <w:color w:val="auto"/>
                <w:sz w:val="22"/>
                <w:szCs w:val="22"/>
                <w:highlight w:val="none"/>
              </w:rPr>
              <w:t>序号</w:t>
            </w:r>
          </w:p>
        </w:tc>
        <w:tc>
          <w:tcPr>
            <w:tcW w:w="969" w:type="dxa"/>
            <w:tcBorders>
              <w:top w:val="single" w:color="auto" w:sz="4" w:space="0"/>
              <w:left w:val="single" w:color="auto" w:sz="4" w:space="0"/>
              <w:bottom w:val="single" w:color="auto" w:sz="4" w:space="0"/>
              <w:right w:val="single" w:color="auto" w:sz="4" w:space="0"/>
            </w:tcBorders>
            <w:noWrap/>
            <w:vAlign w:val="center"/>
          </w:tcPr>
          <w:p w14:paraId="666291B4">
            <w:pPr>
              <w:adjustRightInd w:val="0"/>
              <w:jc w:val="center"/>
              <w:textAlignment w:val="baseline"/>
              <w:rPr>
                <w:rFonts w:ascii="Times New Roman" w:hAnsi="Times New Roman" w:eastAsia="宋体" w:cs="Times New Roman"/>
                <w:color w:val="auto"/>
                <w:sz w:val="22"/>
                <w:szCs w:val="22"/>
                <w:highlight w:val="none"/>
              </w:rPr>
            </w:pPr>
            <w:r>
              <w:rPr>
                <w:rFonts w:hint="default" w:ascii="Times New Roman" w:hAnsi="Times New Roman" w:eastAsia="宋体" w:cs="Times New Roman"/>
                <w:b/>
                <w:color w:val="auto"/>
                <w:sz w:val="22"/>
                <w:szCs w:val="22"/>
                <w:highlight w:val="none"/>
              </w:rPr>
              <w:t>评分因素</w:t>
            </w:r>
          </w:p>
        </w:tc>
        <w:tc>
          <w:tcPr>
            <w:tcW w:w="6878" w:type="dxa"/>
            <w:tcBorders>
              <w:top w:val="single" w:color="auto" w:sz="4" w:space="0"/>
              <w:left w:val="single" w:color="auto" w:sz="4" w:space="0"/>
              <w:bottom w:val="single" w:color="auto" w:sz="4" w:space="0"/>
              <w:right w:val="single" w:color="auto" w:sz="4" w:space="0"/>
            </w:tcBorders>
            <w:noWrap/>
            <w:vAlign w:val="center"/>
          </w:tcPr>
          <w:p w14:paraId="39595404">
            <w:pPr>
              <w:adjustRightInd w:val="0"/>
              <w:jc w:val="center"/>
              <w:textAlignment w:val="baseline"/>
              <w:rPr>
                <w:rFonts w:ascii="Times New Roman" w:hAnsi="Times New Roman" w:eastAsia="宋体" w:cs="Times New Roman"/>
                <w:color w:val="auto"/>
                <w:sz w:val="22"/>
                <w:szCs w:val="22"/>
                <w:highlight w:val="none"/>
              </w:rPr>
            </w:pPr>
            <w:r>
              <w:rPr>
                <w:rFonts w:hint="default" w:ascii="Times New Roman" w:hAnsi="Times New Roman" w:eastAsia="宋体" w:cs="Times New Roman"/>
                <w:b/>
                <w:color w:val="auto"/>
                <w:sz w:val="22"/>
                <w:szCs w:val="22"/>
                <w:highlight w:val="none"/>
              </w:rPr>
              <w:t>评分标准</w:t>
            </w:r>
          </w:p>
        </w:tc>
      </w:tr>
      <w:tr w14:paraId="4D19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tcBorders>
              <w:top w:val="single" w:color="auto" w:sz="4" w:space="0"/>
              <w:left w:val="single" w:color="auto" w:sz="4" w:space="0"/>
              <w:bottom w:val="single" w:color="auto" w:sz="4" w:space="0"/>
              <w:right w:val="single" w:color="auto" w:sz="4" w:space="0"/>
            </w:tcBorders>
            <w:noWrap/>
            <w:vAlign w:val="center"/>
          </w:tcPr>
          <w:p w14:paraId="6A1703F9">
            <w:pPr>
              <w:adjustRightIn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p>
        </w:tc>
        <w:tc>
          <w:tcPr>
            <w:tcW w:w="886" w:type="dxa"/>
            <w:tcBorders>
              <w:top w:val="single" w:color="auto" w:sz="4" w:space="0"/>
              <w:left w:val="single" w:color="auto" w:sz="4" w:space="0"/>
              <w:bottom w:val="single" w:color="auto" w:sz="4" w:space="0"/>
              <w:right w:val="single" w:color="auto" w:sz="4" w:space="0"/>
            </w:tcBorders>
            <w:noWrap/>
            <w:vAlign w:val="center"/>
          </w:tcPr>
          <w:p w14:paraId="65E35D7D">
            <w:pPr>
              <w:adjustRightIn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价格分</w:t>
            </w:r>
          </w:p>
          <w:p w14:paraId="2C2422C5">
            <w:pPr>
              <w:adjustRightInd w:val="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满分</w:t>
            </w:r>
            <w:r>
              <w:rPr>
                <w:rFonts w:hint="default" w:ascii="Times New Roman" w:hAnsi="Times New Roman" w:eastAsia="宋体" w:cs="Times New Roman"/>
                <w:b/>
                <w:color w:val="auto"/>
                <w:sz w:val="21"/>
                <w:szCs w:val="21"/>
                <w:highlight w:val="none"/>
              </w:rPr>
              <w:t>20分）</w:t>
            </w:r>
          </w:p>
        </w:tc>
        <w:tc>
          <w:tcPr>
            <w:tcW w:w="969" w:type="dxa"/>
            <w:tcBorders>
              <w:top w:val="single" w:color="auto" w:sz="4" w:space="0"/>
              <w:left w:val="single" w:color="auto" w:sz="4" w:space="0"/>
              <w:bottom w:val="single" w:color="auto" w:sz="4" w:space="0"/>
              <w:right w:val="single" w:color="auto" w:sz="4" w:space="0"/>
            </w:tcBorders>
            <w:noWrap/>
            <w:vAlign w:val="center"/>
          </w:tcPr>
          <w:p w14:paraId="39BAFB64">
            <w:pPr>
              <w:adjustRightInd w:val="0"/>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报价（</w:t>
            </w:r>
            <w:r>
              <w:rPr>
                <w:rFonts w:hint="default" w:ascii="Times New Roman" w:hAnsi="Times New Roman" w:cs="Times New Roman"/>
                <w:bCs/>
                <w:color w:val="auto"/>
                <w:sz w:val="21"/>
                <w:szCs w:val="21"/>
                <w:highlight w:val="none"/>
                <w:lang w:val="en-US" w:eastAsia="zh-CN"/>
              </w:rPr>
              <w:t>20</w:t>
            </w:r>
            <w:r>
              <w:rPr>
                <w:rFonts w:hint="default" w:ascii="Times New Roman" w:hAnsi="Times New Roman" w:eastAsia="宋体" w:cs="Times New Roman"/>
                <w:bCs/>
                <w:color w:val="auto"/>
                <w:sz w:val="21"/>
                <w:szCs w:val="21"/>
                <w:highlight w:val="none"/>
              </w:rPr>
              <w:t>分）</w:t>
            </w:r>
          </w:p>
        </w:tc>
        <w:tc>
          <w:tcPr>
            <w:tcW w:w="6878" w:type="dxa"/>
            <w:tcBorders>
              <w:top w:val="single" w:color="auto" w:sz="4" w:space="0"/>
              <w:left w:val="single" w:color="auto" w:sz="4" w:space="0"/>
              <w:bottom w:val="single" w:color="auto" w:sz="4" w:space="0"/>
              <w:right w:val="single" w:color="auto" w:sz="4" w:space="0"/>
            </w:tcBorders>
            <w:noWrap/>
            <w:vAlign w:val="center"/>
          </w:tcPr>
          <w:p w14:paraId="25CD4E6C">
            <w:pPr>
              <w:pStyle w:val="7"/>
              <w:ind w:left="13" w:leftChars="6" w:firstLine="12" w:firstLineChars="6"/>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rPr>
              <w:t>价格分采用低价优先法计算，即满足响应文件最低的报价为基准价，其价格分为满分。其他报价的价格分统一按照下列公式计算：</w:t>
            </w:r>
          </w:p>
          <w:p w14:paraId="22F10EE7">
            <w:pPr>
              <w:pStyle w:val="7"/>
              <w:ind w:left="13" w:leftChars="6" w:firstLine="12" w:firstLineChars="6"/>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rPr>
              <w:t>响应单位报价分=（评标基准价／评标报价）×20分</w:t>
            </w:r>
          </w:p>
        </w:tc>
      </w:tr>
      <w:tr w14:paraId="40DF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47" w:type="dxa"/>
            <w:vMerge w:val="restart"/>
            <w:tcBorders>
              <w:top w:val="single" w:color="auto" w:sz="4" w:space="0"/>
              <w:left w:val="single" w:color="auto" w:sz="4" w:space="0"/>
              <w:right w:val="single" w:color="auto" w:sz="4" w:space="0"/>
            </w:tcBorders>
            <w:noWrap/>
            <w:vAlign w:val="center"/>
          </w:tcPr>
          <w:p w14:paraId="5E2D8D24">
            <w:pPr>
              <w:adjustRightIn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w:t>
            </w:r>
          </w:p>
        </w:tc>
        <w:tc>
          <w:tcPr>
            <w:tcW w:w="886" w:type="dxa"/>
            <w:vMerge w:val="restart"/>
            <w:tcBorders>
              <w:top w:val="single" w:color="auto" w:sz="4" w:space="0"/>
              <w:left w:val="single" w:color="auto" w:sz="4" w:space="0"/>
              <w:right w:val="single" w:color="auto" w:sz="4" w:space="0"/>
            </w:tcBorders>
            <w:noWrap/>
            <w:vAlign w:val="center"/>
          </w:tcPr>
          <w:p w14:paraId="650EA715">
            <w:pPr>
              <w:adjustRightInd w:val="0"/>
              <w:ind w:left="-105" w:leftChars="-50" w:right="-105" w:rightChars="-5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技术分</w:t>
            </w:r>
          </w:p>
          <w:p w14:paraId="5F94C72B">
            <w:pPr>
              <w:adjustRightInd w:val="0"/>
              <w:ind w:left="-105" w:leftChars="-50" w:right="-105" w:rightChars="-50"/>
              <w:jc w:val="center"/>
              <w:textAlignment w:val="baseline"/>
              <w:rPr>
                <w:rFonts w:hint="default" w:ascii="Times New Roman" w:hAnsi="Times New Roman" w:eastAsia="宋体" w:cs="Times New Roman"/>
                <w:color w:val="auto"/>
                <w:spacing w:val="-18"/>
                <w:sz w:val="21"/>
                <w:szCs w:val="21"/>
                <w:highlight w:val="none"/>
              </w:rPr>
            </w:pP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color w:val="auto"/>
                <w:sz w:val="21"/>
                <w:szCs w:val="21"/>
                <w:highlight w:val="none"/>
              </w:rPr>
              <w:t>满分</w:t>
            </w:r>
            <w:r>
              <w:rPr>
                <w:rFonts w:hint="default" w:ascii="Times New Roman" w:hAnsi="Times New Roman" w:cs="Times New Roman"/>
                <w:b/>
                <w:color w:val="auto"/>
                <w:sz w:val="21"/>
                <w:szCs w:val="21"/>
                <w:highlight w:val="none"/>
                <w:lang w:val="en-US" w:eastAsia="zh-CN"/>
              </w:rPr>
              <w:t>34</w:t>
            </w:r>
            <w:r>
              <w:rPr>
                <w:rFonts w:hint="default" w:ascii="Times New Roman" w:hAnsi="Times New Roman" w:eastAsia="宋体" w:cs="Times New Roman"/>
                <w:b/>
                <w:bCs/>
                <w:color w:val="auto"/>
                <w:sz w:val="21"/>
                <w:szCs w:val="21"/>
                <w:highlight w:val="none"/>
              </w:rPr>
              <w:t>分）</w:t>
            </w:r>
          </w:p>
        </w:tc>
        <w:tc>
          <w:tcPr>
            <w:tcW w:w="969" w:type="dxa"/>
            <w:tcBorders>
              <w:top w:val="single" w:color="auto" w:sz="4" w:space="0"/>
              <w:left w:val="single" w:color="auto" w:sz="4" w:space="0"/>
              <w:right w:val="single" w:color="auto" w:sz="4" w:space="0"/>
            </w:tcBorders>
            <w:noWrap/>
            <w:vAlign w:val="center"/>
          </w:tcPr>
          <w:p w14:paraId="1C02377B">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基本分（10分）</w:t>
            </w:r>
          </w:p>
        </w:tc>
        <w:tc>
          <w:tcPr>
            <w:tcW w:w="6878" w:type="dxa"/>
            <w:tcBorders>
              <w:top w:val="single" w:color="auto" w:sz="4" w:space="0"/>
              <w:left w:val="single" w:color="auto" w:sz="4" w:space="0"/>
              <w:bottom w:val="single" w:color="auto" w:sz="4" w:space="0"/>
              <w:right w:val="single" w:color="auto" w:sz="4" w:space="0"/>
            </w:tcBorders>
            <w:noWrap/>
            <w:vAlign w:val="center"/>
          </w:tcPr>
          <w:p w14:paraId="36F2AE98">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所有进入详细评审的供应商得基本分10分，</w:t>
            </w:r>
            <w:r>
              <w:rPr>
                <w:rFonts w:hint="default" w:ascii="Times New Roman" w:hAnsi="Times New Roman" w:eastAsia="宋体" w:cs="Times New Roman"/>
                <w:bCs/>
                <w:color w:val="auto"/>
                <w:sz w:val="21"/>
                <w:szCs w:val="21"/>
                <w:highlight w:val="none"/>
                <w:lang w:val="en-US" w:eastAsia="zh-CN"/>
              </w:rPr>
              <w:t>所有服务</w:t>
            </w:r>
            <w:r>
              <w:rPr>
                <w:rFonts w:hint="default" w:ascii="Times New Roman" w:hAnsi="Times New Roman" w:eastAsia="宋体" w:cs="Times New Roman"/>
                <w:bCs/>
                <w:color w:val="auto"/>
                <w:sz w:val="21"/>
                <w:szCs w:val="21"/>
                <w:highlight w:val="none"/>
              </w:rPr>
              <w:t>要求(未标注▲号参数指标)负偏离一项的在基本分基础上扣3分，漏项视为负偏离，扣完为止。</w:t>
            </w:r>
          </w:p>
        </w:tc>
      </w:tr>
      <w:tr w14:paraId="26A7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tcBorders>
              <w:left w:val="single" w:color="auto" w:sz="4" w:space="0"/>
              <w:right w:val="single" w:color="auto" w:sz="4" w:space="0"/>
            </w:tcBorders>
            <w:noWrap/>
            <w:vAlign w:val="center"/>
          </w:tcPr>
          <w:p w14:paraId="0FD08F9A">
            <w:pPr>
              <w:adjustRightInd w:val="0"/>
              <w:jc w:val="center"/>
              <w:textAlignment w:val="baseline"/>
              <w:rPr>
                <w:rFonts w:hint="default" w:ascii="Times New Roman" w:hAnsi="Times New Roman" w:eastAsia="宋体" w:cs="Times New Roman"/>
                <w:b/>
                <w:color w:val="auto"/>
                <w:sz w:val="21"/>
                <w:szCs w:val="21"/>
                <w:highlight w:val="none"/>
              </w:rPr>
            </w:pPr>
          </w:p>
        </w:tc>
        <w:tc>
          <w:tcPr>
            <w:tcW w:w="886" w:type="dxa"/>
            <w:vMerge w:val="continue"/>
            <w:tcBorders>
              <w:left w:val="single" w:color="auto" w:sz="4" w:space="0"/>
              <w:right w:val="single" w:color="auto" w:sz="4" w:space="0"/>
            </w:tcBorders>
            <w:noWrap/>
            <w:vAlign w:val="center"/>
          </w:tcPr>
          <w:p w14:paraId="6C5182A1">
            <w:pPr>
              <w:adjustRightInd w:val="0"/>
              <w:ind w:left="-105" w:leftChars="-50" w:right="-105" w:rightChars="-50"/>
              <w:jc w:val="center"/>
              <w:textAlignment w:val="baseline"/>
              <w:rPr>
                <w:rFonts w:hint="default" w:ascii="Times New Roman" w:hAnsi="Times New Roman" w:eastAsia="宋体" w:cs="Times New Roman"/>
                <w:b/>
                <w:bCs/>
                <w:color w:val="auto"/>
                <w:sz w:val="21"/>
                <w:szCs w:val="21"/>
                <w:highlight w:val="none"/>
              </w:rPr>
            </w:pPr>
          </w:p>
        </w:tc>
        <w:tc>
          <w:tcPr>
            <w:tcW w:w="969" w:type="dxa"/>
            <w:tcBorders>
              <w:top w:val="single" w:color="auto" w:sz="4" w:space="0"/>
              <w:left w:val="single" w:color="auto" w:sz="4" w:space="0"/>
              <w:right w:val="single" w:color="auto" w:sz="4" w:space="0"/>
            </w:tcBorders>
            <w:noWrap/>
            <w:vAlign w:val="center"/>
          </w:tcPr>
          <w:p w14:paraId="534CEC2B">
            <w:pPr>
              <w:adjustRightInd w:val="0"/>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技术方案分（1</w:t>
            </w:r>
            <w:r>
              <w:rPr>
                <w:rFonts w:hint="default" w:ascii="Times New Roman" w:hAnsi="Times New Roman"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分）</w:t>
            </w:r>
          </w:p>
        </w:tc>
        <w:tc>
          <w:tcPr>
            <w:tcW w:w="6878" w:type="dxa"/>
            <w:tcBorders>
              <w:top w:val="single" w:color="auto" w:sz="4" w:space="0"/>
              <w:left w:val="single" w:color="auto" w:sz="4" w:space="0"/>
              <w:bottom w:val="single" w:color="auto" w:sz="4" w:space="0"/>
              <w:right w:val="single" w:color="auto" w:sz="4" w:space="0"/>
            </w:tcBorders>
            <w:noWrap/>
            <w:vAlign w:val="center"/>
          </w:tcPr>
          <w:p w14:paraId="66E8EC99">
            <w:pPr>
              <w:adjustRightInd w:val="0"/>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zh-TW"/>
              </w:rPr>
              <w:t>由</w:t>
            </w:r>
            <w:r>
              <w:rPr>
                <w:rFonts w:hint="default" w:ascii="Times New Roman" w:hAnsi="Times New Roman" w:cs="Times New Roman"/>
                <w:bCs/>
                <w:color w:val="auto"/>
                <w:sz w:val="21"/>
                <w:szCs w:val="21"/>
                <w:highlight w:val="none"/>
                <w:lang w:val="en-US" w:eastAsia="zh-CN"/>
              </w:rPr>
              <w:t>评审</w:t>
            </w:r>
            <w:r>
              <w:rPr>
                <w:rFonts w:hint="default" w:ascii="Times New Roman" w:hAnsi="Times New Roman" w:eastAsia="宋体" w:cs="Times New Roman"/>
                <w:bCs/>
                <w:color w:val="auto"/>
                <w:sz w:val="21"/>
                <w:szCs w:val="21"/>
                <w:highlight w:val="none"/>
              </w:rPr>
              <w:t>小组</w:t>
            </w:r>
            <w:r>
              <w:rPr>
                <w:rFonts w:hint="default" w:ascii="Times New Roman" w:hAnsi="Times New Roman" w:eastAsia="宋体" w:cs="Times New Roman"/>
                <w:bCs/>
                <w:color w:val="auto"/>
                <w:sz w:val="21"/>
                <w:szCs w:val="21"/>
                <w:highlight w:val="none"/>
                <w:lang w:val="zh-TW"/>
              </w:rPr>
              <w:t>在打分前根据</w:t>
            </w:r>
            <w:r>
              <w:rPr>
                <w:rFonts w:hint="default" w:ascii="Times New Roman" w:hAnsi="Times New Roman" w:cs="Times New Roman"/>
                <w:bCs/>
                <w:color w:val="auto"/>
                <w:sz w:val="21"/>
                <w:szCs w:val="21"/>
                <w:highlight w:val="none"/>
                <w:lang w:val="en-US" w:eastAsia="zh-CN"/>
              </w:rPr>
              <w:t>响应供应商</w:t>
            </w:r>
            <w:r>
              <w:rPr>
                <w:rFonts w:hint="default" w:ascii="Times New Roman" w:hAnsi="Times New Roman" w:eastAsia="宋体" w:cs="Times New Roman"/>
                <w:bCs/>
                <w:color w:val="auto"/>
                <w:sz w:val="21"/>
                <w:szCs w:val="21"/>
                <w:highlight w:val="none"/>
                <w:lang w:val="zh-TW"/>
              </w:rPr>
              <w:t>的线路综合解决方案</w:t>
            </w:r>
            <w:r>
              <w:rPr>
                <w:rFonts w:hint="default" w:ascii="Times New Roman" w:hAnsi="Times New Roman" w:eastAsia="宋体" w:cs="Times New Roman"/>
                <w:bCs/>
                <w:color w:val="auto"/>
                <w:sz w:val="21"/>
                <w:szCs w:val="21"/>
                <w:highlight w:val="none"/>
                <w:lang w:val="zh-TW" w:eastAsia="zh-TW"/>
              </w:rPr>
              <w:t>(</w:t>
            </w:r>
            <w:r>
              <w:rPr>
                <w:rFonts w:hint="default" w:ascii="Times New Roman" w:hAnsi="Times New Roman" w:eastAsia="宋体" w:cs="Times New Roman"/>
                <w:bCs/>
                <w:color w:val="auto"/>
                <w:sz w:val="21"/>
                <w:szCs w:val="21"/>
                <w:highlight w:val="none"/>
                <w:lang w:val="zh-TW"/>
              </w:rPr>
              <w:t>包括电路网络拓扑、电路接入技术说明、</w:t>
            </w:r>
            <w:r>
              <w:rPr>
                <w:rFonts w:hint="default" w:ascii="Times New Roman" w:hAnsi="Times New Roman" w:eastAsia="宋体" w:cs="Times New Roman"/>
                <w:bCs/>
                <w:color w:val="auto"/>
                <w:sz w:val="21"/>
                <w:szCs w:val="21"/>
                <w:highlight w:val="none"/>
              </w:rPr>
              <w:t>组织方案、实施方案等) 优劣程度确定各</w:t>
            </w:r>
            <w:r>
              <w:rPr>
                <w:rFonts w:hint="default" w:ascii="Times New Roman" w:hAnsi="Times New Roman" w:cs="Times New Roman"/>
                <w:bCs/>
                <w:color w:val="auto"/>
                <w:sz w:val="21"/>
                <w:szCs w:val="21"/>
                <w:highlight w:val="none"/>
                <w:lang w:val="en-US" w:eastAsia="zh-CN"/>
              </w:rPr>
              <w:t>响应供应商</w:t>
            </w:r>
            <w:r>
              <w:rPr>
                <w:rFonts w:hint="default" w:ascii="Times New Roman" w:hAnsi="Times New Roman" w:eastAsia="宋体" w:cs="Times New Roman"/>
                <w:bCs/>
                <w:color w:val="auto"/>
                <w:sz w:val="21"/>
                <w:szCs w:val="21"/>
                <w:highlight w:val="none"/>
              </w:rPr>
              <w:t>所属档次。</w:t>
            </w:r>
          </w:p>
          <w:p w14:paraId="41FA61A0">
            <w:pPr>
              <w:adjustRightInd w:val="0"/>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一档（</w:t>
            </w:r>
            <w:r>
              <w:rPr>
                <w:rFonts w:hint="default" w:ascii="Times New Roman" w:hAnsi="Times New Roman" w:eastAsia="宋体"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rPr>
              <w:t>分）: 线路综合解决方案表达基本清晰，对</w:t>
            </w:r>
            <w:r>
              <w:rPr>
                <w:rFonts w:hint="default" w:ascii="Times New Roman" w:hAnsi="Times New Roman" w:cs="Times New Roman"/>
                <w:bCs/>
                <w:color w:val="auto"/>
                <w:sz w:val="21"/>
                <w:szCs w:val="21"/>
                <w:highlight w:val="none"/>
                <w:lang w:val="en-US" w:eastAsia="zh-CN"/>
              </w:rPr>
              <w:t>响应</w:t>
            </w:r>
            <w:r>
              <w:rPr>
                <w:rFonts w:hint="default" w:ascii="Times New Roman" w:hAnsi="Times New Roman" w:eastAsia="宋体" w:cs="Times New Roman"/>
                <w:bCs/>
                <w:color w:val="auto"/>
                <w:sz w:val="21"/>
                <w:szCs w:val="21"/>
                <w:highlight w:val="none"/>
              </w:rPr>
              <w:t>文件项目实施要求响应及方案一般。</w:t>
            </w:r>
          </w:p>
          <w:p w14:paraId="53FB7BE6">
            <w:pPr>
              <w:adjustRightInd w:val="0"/>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二档（</w:t>
            </w:r>
            <w:r>
              <w:rPr>
                <w:rFonts w:hint="default" w:ascii="Times New Roman" w:hAnsi="Times New Roman" w:eastAsia="宋体" w:cs="Times New Roman"/>
                <w:bCs/>
                <w:color w:val="auto"/>
                <w:sz w:val="21"/>
                <w:szCs w:val="21"/>
                <w:highlight w:val="none"/>
                <w:lang w:val="en-US" w:eastAsia="zh-CN"/>
              </w:rPr>
              <w:t>8</w:t>
            </w:r>
            <w:r>
              <w:rPr>
                <w:rFonts w:hint="default" w:ascii="Times New Roman" w:hAnsi="Times New Roman" w:eastAsia="宋体" w:cs="Times New Roman"/>
                <w:bCs/>
                <w:color w:val="auto"/>
                <w:sz w:val="21"/>
                <w:szCs w:val="21"/>
                <w:highlight w:val="none"/>
              </w:rPr>
              <w:t>分）：方案较对系统有一定的详尽的理解、描述和呈现，提供有实施人员配备合理，能基本满足项目实施需要，方案基本可行。</w:t>
            </w:r>
          </w:p>
          <w:p w14:paraId="2E6EA4F4">
            <w:pPr>
              <w:adjustRightInd w:val="0"/>
              <w:textAlignment w:val="baseline"/>
              <w:rPr>
                <w:rFonts w:hint="default" w:ascii="Times New Roman" w:hAnsi="Times New Roman" w:eastAsia="宋体" w:cs="Times New Roman"/>
                <w:bCs/>
                <w:color w:val="auto"/>
                <w:sz w:val="21"/>
                <w:szCs w:val="21"/>
                <w:highlight w:val="none"/>
                <w:lang w:val="zh-TW"/>
              </w:rPr>
            </w:pPr>
            <w:r>
              <w:rPr>
                <w:rFonts w:hint="default" w:ascii="Times New Roman" w:hAnsi="Times New Roman" w:eastAsia="宋体" w:cs="Times New Roman"/>
                <w:bCs/>
                <w:color w:val="auto"/>
                <w:sz w:val="21"/>
                <w:szCs w:val="21"/>
                <w:highlight w:val="none"/>
              </w:rPr>
              <w:t>三档（</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分）：方案较详细，提供的组织机构较健全，实施人员配备较完备</w:t>
            </w:r>
            <w:r>
              <w:rPr>
                <w:rFonts w:hint="default" w:ascii="Times New Roman" w:hAnsi="Times New Roman" w:eastAsia="宋体" w:cs="Times New Roman"/>
                <w:bCs/>
                <w:color w:val="auto"/>
                <w:sz w:val="21"/>
                <w:szCs w:val="21"/>
                <w:highlight w:val="none"/>
                <w:lang w:val="zh-TW"/>
              </w:rPr>
              <w:t>，实施流程合理，方案考虑周全，进度有计划，有一定的合理的建议，</w:t>
            </w:r>
            <w:r>
              <w:rPr>
                <w:rFonts w:hint="default" w:ascii="Times New Roman" w:hAnsi="Times New Roman" w:eastAsia="宋体" w:cs="Times New Roman"/>
                <w:bCs/>
                <w:color w:val="auto"/>
                <w:sz w:val="21"/>
                <w:szCs w:val="21"/>
                <w:highlight w:val="none"/>
              </w:rPr>
              <w:t>方案可</w:t>
            </w:r>
            <w:r>
              <w:rPr>
                <w:rFonts w:hint="default" w:ascii="Times New Roman" w:hAnsi="Times New Roman" w:eastAsia="宋体" w:cs="Times New Roman"/>
                <w:bCs/>
                <w:color w:val="auto"/>
                <w:sz w:val="21"/>
                <w:szCs w:val="21"/>
                <w:highlight w:val="none"/>
                <w:lang w:val="zh-TW"/>
              </w:rPr>
              <w:t>行。</w:t>
            </w:r>
          </w:p>
          <w:p w14:paraId="65E21483">
            <w:pPr>
              <w:adjustRightInd w:val="0"/>
              <w:textAlignment w:val="baseline"/>
              <w:rPr>
                <w:rFonts w:hint="default" w:ascii="Times New Roman" w:hAnsi="Times New Roman" w:eastAsia="宋体" w:cs="Times New Roman"/>
                <w:bCs/>
                <w:color w:val="auto"/>
                <w:sz w:val="21"/>
                <w:szCs w:val="21"/>
                <w:highlight w:val="none"/>
                <w:lang w:val="zh-TW" w:eastAsia="zh-TW"/>
              </w:rPr>
            </w:pPr>
            <w:r>
              <w:rPr>
                <w:rFonts w:hint="default" w:ascii="Times New Roman" w:hAnsi="Times New Roman" w:eastAsia="宋体" w:cs="Times New Roman"/>
                <w:bCs/>
                <w:color w:val="auto"/>
                <w:sz w:val="21"/>
                <w:szCs w:val="21"/>
                <w:highlight w:val="none"/>
              </w:rPr>
              <w:t>四档（1</w:t>
            </w:r>
            <w:r>
              <w:rPr>
                <w:rFonts w:hint="default"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分）：方案详细，组织机构健全完善，实施人员配备完备</w:t>
            </w:r>
            <w:r>
              <w:rPr>
                <w:rFonts w:hint="default" w:ascii="Times New Roman" w:hAnsi="Times New Roman" w:eastAsia="宋体" w:cs="Times New Roman"/>
                <w:bCs/>
                <w:color w:val="auto"/>
                <w:sz w:val="21"/>
                <w:szCs w:val="21"/>
                <w:highlight w:val="none"/>
                <w:lang w:val="zh-TW"/>
              </w:rPr>
              <w:t>，实施流程合理，方案考虑周全，进度有计划，有合理的建议，</w:t>
            </w:r>
            <w:r>
              <w:rPr>
                <w:rFonts w:hint="default" w:ascii="Times New Roman" w:hAnsi="Times New Roman" w:eastAsia="宋体" w:cs="Times New Roman"/>
                <w:bCs/>
                <w:color w:val="auto"/>
                <w:sz w:val="21"/>
                <w:szCs w:val="21"/>
                <w:highlight w:val="none"/>
              </w:rPr>
              <w:t>方案先进可</w:t>
            </w:r>
            <w:r>
              <w:rPr>
                <w:rFonts w:hint="default" w:ascii="Times New Roman" w:hAnsi="Times New Roman" w:eastAsia="宋体" w:cs="Times New Roman"/>
                <w:bCs/>
                <w:color w:val="auto"/>
                <w:sz w:val="21"/>
                <w:szCs w:val="21"/>
                <w:highlight w:val="none"/>
                <w:lang w:val="zh-TW"/>
              </w:rPr>
              <w:t>行。</w:t>
            </w:r>
          </w:p>
          <w:p w14:paraId="3834F3A6">
            <w:pPr>
              <w:adjustRightInd w:val="0"/>
              <w:textAlignment w:val="baseline"/>
              <w:rPr>
                <w:rFonts w:hint="default" w:ascii="Times New Roman" w:hAnsi="Times New Roman" w:eastAsia="宋体" w:cs="Times New Roman"/>
                <w:bCs/>
                <w:color w:val="auto"/>
                <w:sz w:val="21"/>
                <w:szCs w:val="21"/>
                <w:highlight w:val="none"/>
              </w:rPr>
            </w:pPr>
          </w:p>
        </w:tc>
      </w:tr>
      <w:tr w14:paraId="44F3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47" w:type="dxa"/>
            <w:vMerge w:val="continue"/>
            <w:tcBorders>
              <w:left w:val="single" w:color="auto" w:sz="4" w:space="0"/>
              <w:right w:val="single" w:color="auto" w:sz="4" w:space="0"/>
            </w:tcBorders>
            <w:noWrap/>
            <w:vAlign w:val="center"/>
          </w:tcPr>
          <w:p w14:paraId="3454E143">
            <w:pPr>
              <w:adjustRightInd w:val="0"/>
              <w:jc w:val="center"/>
              <w:textAlignment w:val="baseline"/>
              <w:rPr>
                <w:rFonts w:hint="default" w:ascii="Times New Roman" w:hAnsi="Times New Roman" w:eastAsia="宋体" w:cs="Times New Roman"/>
                <w:b/>
                <w:color w:val="auto"/>
                <w:sz w:val="21"/>
                <w:szCs w:val="21"/>
                <w:highlight w:val="none"/>
              </w:rPr>
            </w:pPr>
          </w:p>
        </w:tc>
        <w:tc>
          <w:tcPr>
            <w:tcW w:w="886" w:type="dxa"/>
            <w:vMerge w:val="continue"/>
            <w:tcBorders>
              <w:left w:val="single" w:color="auto" w:sz="4" w:space="0"/>
              <w:right w:val="single" w:color="auto" w:sz="4" w:space="0"/>
            </w:tcBorders>
            <w:noWrap/>
            <w:vAlign w:val="center"/>
          </w:tcPr>
          <w:p w14:paraId="565FD2FB">
            <w:pPr>
              <w:adjustRightInd w:val="0"/>
              <w:ind w:left="-105" w:leftChars="-50" w:right="-105" w:rightChars="-50"/>
              <w:jc w:val="center"/>
              <w:textAlignment w:val="baseline"/>
              <w:rPr>
                <w:rFonts w:hint="default" w:ascii="Times New Roman" w:hAnsi="Times New Roman" w:eastAsia="宋体" w:cs="Times New Roman"/>
                <w:b/>
                <w:bCs/>
                <w:color w:val="auto"/>
                <w:sz w:val="21"/>
                <w:szCs w:val="21"/>
                <w:highlight w:val="none"/>
              </w:rPr>
            </w:pPr>
          </w:p>
        </w:tc>
        <w:tc>
          <w:tcPr>
            <w:tcW w:w="969" w:type="dxa"/>
            <w:tcBorders>
              <w:top w:val="single" w:color="auto" w:sz="4" w:space="0"/>
              <w:left w:val="single" w:color="auto" w:sz="4" w:space="0"/>
              <w:right w:val="single" w:color="auto" w:sz="4" w:space="0"/>
            </w:tcBorders>
            <w:noWrap/>
            <w:vAlign w:val="center"/>
          </w:tcPr>
          <w:p w14:paraId="2452F229">
            <w:pPr>
              <w:adjustRightInd w:val="0"/>
              <w:jc w:val="center"/>
              <w:textAlignment w:val="baseline"/>
              <w:rPr>
                <w:rFonts w:hint="default" w:ascii="Times New Roman" w:hAnsi="Times New Roman" w:eastAsia="宋体" w:cs="Times New Roman"/>
                <w:color w:val="auto"/>
                <w:spacing w:val="-18"/>
                <w:sz w:val="21"/>
                <w:szCs w:val="21"/>
                <w:highlight w:val="none"/>
              </w:rPr>
            </w:pPr>
            <w:r>
              <w:rPr>
                <w:rFonts w:hint="default" w:ascii="Times New Roman" w:hAnsi="Times New Roman" w:eastAsia="宋体" w:cs="Times New Roman"/>
                <w:color w:val="auto"/>
                <w:spacing w:val="-18"/>
                <w:sz w:val="21"/>
                <w:szCs w:val="21"/>
                <w:highlight w:val="none"/>
              </w:rPr>
              <w:t>项目施工进度与实施方案分（1</w:t>
            </w:r>
            <w:r>
              <w:rPr>
                <w:rFonts w:hint="default" w:ascii="Times New Roman" w:hAnsi="Times New Roman" w:cs="Times New Roman"/>
                <w:color w:val="auto"/>
                <w:spacing w:val="-18"/>
                <w:sz w:val="21"/>
                <w:szCs w:val="21"/>
                <w:highlight w:val="none"/>
                <w:lang w:val="en-US" w:eastAsia="zh-CN"/>
              </w:rPr>
              <w:t>2</w:t>
            </w:r>
            <w:r>
              <w:rPr>
                <w:rFonts w:hint="default" w:ascii="Times New Roman" w:hAnsi="Times New Roman" w:eastAsia="宋体" w:cs="Times New Roman"/>
                <w:color w:val="auto"/>
                <w:spacing w:val="-18"/>
                <w:sz w:val="21"/>
                <w:szCs w:val="21"/>
                <w:highlight w:val="none"/>
              </w:rPr>
              <w:t>分）</w:t>
            </w:r>
          </w:p>
        </w:tc>
        <w:tc>
          <w:tcPr>
            <w:tcW w:w="6878" w:type="dxa"/>
            <w:tcBorders>
              <w:top w:val="single" w:color="auto" w:sz="4" w:space="0"/>
              <w:left w:val="single" w:color="auto" w:sz="4" w:space="0"/>
              <w:right w:val="single" w:color="auto" w:sz="4" w:space="0"/>
            </w:tcBorders>
            <w:noWrap/>
            <w:vAlign w:val="center"/>
          </w:tcPr>
          <w:p w14:paraId="1BB4CDFB">
            <w:pPr>
              <w:tabs>
                <w:tab w:val="left" w:pos="2052"/>
              </w:tabs>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由评审小组在打分前根据响应供应商的实施周期及实施方案(包括项目管理体系、工程实施计划、人员安排、进度计划表、施工方案、响应供应商资源到位情况等)优劣程度确定各响应供应商所属档次。</w:t>
            </w:r>
          </w:p>
          <w:p w14:paraId="2E9911E6">
            <w:pPr>
              <w:tabs>
                <w:tab w:val="left" w:pos="2052"/>
              </w:tabs>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一档（6分）：对项目总体有一定认识，表达基本清晰，对系统有较全面的描述，有基本的施工进度计划。</w:t>
            </w:r>
          </w:p>
          <w:p w14:paraId="5E751C15">
            <w:pPr>
              <w:tabs>
                <w:tab w:val="left" w:pos="2052"/>
              </w:tabs>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档（8分）：对项目总体有深刻认识，表达清晰、说明明确。对系统有全面详尽的理解、描述和呈现，有基本的施工进度计划和工期保证措施，施工方案可行。负责本项目实施人员不少于2人（人员须提供具体联系人及联系方式）。</w:t>
            </w:r>
          </w:p>
          <w:p w14:paraId="25A06BBD">
            <w:pPr>
              <w:tabs>
                <w:tab w:val="left" w:pos="2052"/>
              </w:tabs>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三档（10分）：对项目总体有深刻认识，表达清晰、说明明确。对系统有全面详尽的理解、描述和呈现，有较好的施工进度计划和工期保证措施；有安全控制措施及安装质量控制保证方案及实施质量保证措施及质量管理程序。负责本项目实施人员不少于4人（人员须提供具体联系人及联系方式）。</w:t>
            </w:r>
          </w:p>
          <w:p w14:paraId="3F41253B">
            <w:pPr>
              <w:tabs>
                <w:tab w:val="left" w:pos="2052"/>
              </w:tabs>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四档（12分）：对项目总体有深刻认识，表达清晰、说明明确。对系统有全面详尽的理解、描述和呈现。有完善的安全控制措施及安装质量控制保证方案，具有工程项目安全管理，实施质量保证措施及质量管理程序；实施人员配置充分，实施人员线路实施能力好，提供赶工计划及提前完工承诺。实施人员配备完备，实施流程合理，方案考虑周全，进度有计划，有合理的建议。承诺安排一名专职技术主管负责提供本项目技术支撑服务；项目实施人员不少于8人（人员须提供具体联系人及联系方式）。</w:t>
            </w:r>
          </w:p>
          <w:p w14:paraId="655CD687">
            <w:pPr>
              <w:tabs>
                <w:tab w:val="left" w:pos="2052"/>
              </w:tabs>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注：上述人员资质须提供响应供应商于响应截止日期前半年内为其缴纳连续三个月社保的证明复印件，并加盖公章，</w:t>
            </w:r>
            <w:r>
              <w:rPr>
                <w:rFonts w:hint="default" w:ascii="Times New Roman" w:hAnsi="Times New Roman" w:eastAsia="宋体" w:cs="Times New Roman"/>
                <w:color w:val="auto"/>
                <w:sz w:val="21"/>
                <w:szCs w:val="21"/>
                <w:highlight w:val="none"/>
              </w:rPr>
              <w:t>不提供或提供材料不齐全的</w:t>
            </w:r>
            <w:r>
              <w:rPr>
                <w:rFonts w:hint="default" w:ascii="Times New Roman" w:hAnsi="Times New Roman" w:cs="Times New Roman"/>
                <w:bCs/>
                <w:color w:val="auto"/>
                <w:highlight w:val="none"/>
              </w:rPr>
              <w:t>不予以计分</w:t>
            </w:r>
            <w:r>
              <w:rPr>
                <w:rFonts w:hint="default" w:ascii="Times New Roman" w:hAnsi="Times New Roman" w:cs="Times New Roman"/>
                <w:bCs/>
                <w:color w:val="auto"/>
                <w:highlight w:val="none"/>
                <w:lang w:eastAsia="zh-CN"/>
              </w:rPr>
              <w:t>。</w:t>
            </w:r>
          </w:p>
          <w:p w14:paraId="2CA0DC73">
            <w:pPr>
              <w:tabs>
                <w:tab w:val="left" w:pos="2052"/>
              </w:tabs>
              <w:jc w:val="left"/>
              <w:rPr>
                <w:rFonts w:hint="default" w:ascii="Times New Roman" w:hAnsi="Times New Roman" w:cs="Times New Roman"/>
                <w:color w:val="auto"/>
                <w:highlight w:val="none"/>
                <w:lang w:val="en-US" w:eastAsia="zh-CN"/>
              </w:rPr>
            </w:pPr>
          </w:p>
        </w:tc>
      </w:tr>
      <w:tr w14:paraId="6590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47" w:type="dxa"/>
            <w:tcBorders>
              <w:top w:val="single" w:color="auto" w:sz="4" w:space="0"/>
              <w:left w:val="single" w:color="auto" w:sz="4" w:space="0"/>
              <w:right w:val="single" w:color="auto" w:sz="4" w:space="0"/>
            </w:tcBorders>
            <w:noWrap/>
            <w:vAlign w:val="center"/>
          </w:tcPr>
          <w:p w14:paraId="4FAE4CD0">
            <w:pPr>
              <w:adjustRightIn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w:t>
            </w:r>
          </w:p>
        </w:tc>
        <w:tc>
          <w:tcPr>
            <w:tcW w:w="886" w:type="dxa"/>
            <w:tcBorders>
              <w:top w:val="single" w:color="auto" w:sz="4" w:space="0"/>
              <w:left w:val="single" w:color="auto" w:sz="4" w:space="0"/>
              <w:right w:val="single" w:color="auto" w:sz="4" w:space="0"/>
            </w:tcBorders>
            <w:noWrap/>
            <w:vAlign w:val="center"/>
          </w:tcPr>
          <w:p w14:paraId="76B37F4C">
            <w:pPr>
              <w:adjustRightIn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cs="Times New Roman"/>
                <w:b/>
                <w:color w:val="auto"/>
                <w:kern w:val="0"/>
                <w:highlight w:val="none"/>
              </w:rPr>
              <w:t>售后服务</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color w:val="auto"/>
                <w:sz w:val="21"/>
                <w:szCs w:val="21"/>
                <w:highlight w:val="none"/>
              </w:rPr>
              <w:t>满分</w:t>
            </w:r>
            <w:r>
              <w:rPr>
                <w:rFonts w:hint="default" w:ascii="Times New Roman" w:hAnsi="Times New Roman" w:cs="Times New Roman"/>
                <w:b/>
                <w:color w:val="auto"/>
                <w:sz w:val="21"/>
                <w:szCs w:val="21"/>
                <w:highlight w:val="none"/>
                <w:lang w:val="en-US" w:eastAsia="zh-CN"/>
              </w:rPr>
              <w:t>46</w:t>
            </w:r>
            <w:r>
              <w:rPr>
                <w:rFonts w:hint="default" w:ascii="Times New Roman" w:hAnsi="Times New Roman" w:eastAsia="宋体" w:cs="Times New Roman"/>
                <w:b/>
                <w:color w:val="auto"/>
                <w:sz w:val="21"/>
                <w:szCs w:val="21"/>
                <w:highlight w:val="none"/>
              </w:rPr>
              <w:t>分</w:t>
            </w:r>
            <w:r>
              <w:rPr>
                <w:rFonts w:hint="default" w:ascii="Times New Roman" w:hAnsi="Times New Roman" w:eastAsia="宋体" w:cs="Times New Roman"/>
                <w:b/>
                <w:bCs/>
                <w:color w:val="auto"/>
                <w:sz w:val="21"/>
                <w:szCs w:val="21"/>
                <w:highlight w:val="none"/>
              </w:rPr>
              <w:t>）</w:t>
            </w:r>
          </w:p>
        </w:tc>
        <w:tc>
          <w:tcPr>
            <w:tcW w:w="969"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7BC071F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售后服务方案（</w:t>
            </w:r>
            <w:r>
              <w:rPr>
                <w:rFonts w:hint="default" w:ascii="Times New Roman" w:hAnsi="Times New Roman" w:eastAsia="宋体" w:cs="Times New Roman"/>
                <w:color w:val="auto"/>
                <w:sz w:val="21"/>
                <w:szCs w:val="21"/>
                <w:highlight w:val="none"/>
              </w:rPr>
              <w:t>2</w:t>
            </w:r>
            <w:r>
              <w:rPr>
                <w:rFonts w:hint="default"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bCs/>
                <w:color w:val="auto"/>
                <w:sz w:val="21"/>
                <w:szCs w:val="21"/>
                <w:highlight w:val="none"/>
              </w:rPr>
              <w:t>）</w:t>
            </w:r>
          </w:p>
        </w:tc>
        <w:tc>
          <w:tcPr>
            <w:tcW w:w="6878" w:type="dxa"/>
            <w:tcBorders>
              <w:top w:val="single" w:color="auto" w:sz="4" w:space="0"/>
              <w:left w:val="single" w:color="auto" w:sz="4" w:space="0"/>
              <w:right w:val="single" w:color="auto" w:sz="4" w:space="0"/>
            </w:tcBorders>
            <w:noWrap/>
          </w:tcPr>
          <w:p w14:paraId="4F4C43C7">
            <w:pP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一档（19分）： 满足</w:t>
            </w:r>
            <w:r>
              <w:rPr>
                <w:rFonts w:hint="default" w:ascii="Times New Roman" w:hAnsi="Times New Roman" w:cs="Times New Roman"/>
                <w:b w:val="0"/>
                <w:bCs/>
                <w:color w:val="auto"/>
                <w:sz w:val="21"/>
                <w:szCs w:val="21"/>
                <w:highlight w:val="none"/>
                <w:lang w:val="en-US" w:eastAsia="zh-CN"/>
              </w:rPr>
              <w:t>响应</w:t>
            </w:r>
            <w:r>
              <w:rPr>
                <w:rFonts w:hint="default" w:ascii="Times New Roman" w:hAnsi="Times New Roman" w:eastAsia="宋体" w:cs="Times New Roman"/>
                <w:b w:val="0"/>
                <w:bCs/>
                <w:color w:val="auto"/>
                <w:sz w:val="21"/>
                <w:szCs w:val="21"/>
                <w:highlight w:val="none"/>
              </w:rPr>
              <w:t>文件售后服务实质性要求和条件确保设备正常运行，提供有服务方案，方案包含有项目售后维护和应急保障方案，提供故障处理流程、维护保障流程及组织架构的。</w:t>
            </w:r>
          </w:p>
          <w:p w14:paraId="55465BAA">
            <w:pP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二档（21分）：满足</w:t>
            </w:r>
            <w:r>
              <w:rPr>
                <w:rFonts w:hint="default" w:ascii="Times New Roman" w:hAnsi="Times New Roman" w:cs="Times New Roman"/>
                <w:b w:val="0"/>
                <w:bCs/>
                <w:color w:val="auto"/>
                <w:sz w:val="21"/>
                <w:szCs w:val="21"/>
                <w:highlight w:val="none"/>
                <w:lang w:val="en-US" w:eastAsia="zh-CN"/>
              </w:rPr>
              <w:t>响应</w:t>
            </w:r>
            <w:r>
              <w:rPr>
                <w:rFonts w:hint="default" w:ascii="Times New Roman" w:hAnsi="Times New Roman" w:eastAsia="宋体" w:cs="Times New Roman"/>
                <w:b w:val="0"/>
                <w:bCs/>
                <w:color w:val="auto"/>
                <w:sz w:val="21"/>
                <w:szCs w:val="21"/>
                <w:highlight w:val="none"/>
              </w:rPr>
              <w:t xml:space="preserve">文件售后服务实质性要求和条件的，在系统维护、响应时间有完整方案，保证设备正常运行，提供故障处理流程、维护保障流程及组织架构，提供7×24小时服务电话。 </w:t>
            </w:r>
          </w:p>
          <w:p w14:paraId="62745FCE">
            <w:pP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三档（23分）： 满足</w:t>
            </w:r>
            <w:r>
              <w:rPr>
                <w:rFonts w:hint="default" w:ascii="Times New Roman" w:hAnsi="Times New Roman" w:cs="Times New Roman"/>
                <w:b w:val="0"/>
                <w:bCs/>
                <w:color w:val="auto"/>
                <w:sz w:val="21"/>
                <w:szCs w:val="21"/>
                <w:highlight w:val="none"/>
                <w:lang w:val="en-US" w:eastAsia="zh-CN"/>
              </w:rPr>
              <w:t>响应</w:t>
            </w:r>
            <w:r>
              <w:rPr>
                <w:rFonts w:hint="default" w:ascii="Times New Roman" w:hAnsi="Times New Roman" w:eastAsia="宋体" w:cs="Times New Roman"/>
                <w:b w:val="0"/>
                <w:bCs/>
                <w:color w:val="auto"/>
                <w:sz w:val="21"/>
                <w:szCs w:val="21"/>
                <w:highlight w:val="none"/>
              </w:rPr>
              <w:t>文件售后服务所有要求和条件的，在系统维护、响应时间有完整方案，保证设备正常运行的，提供故障处理流程、维护保障流程及组织架构，南宁市内有本地服务机构，提供7×24小时服务电话的，有良好的免费培训计划、培训场地（</w:t>
            </w:r>
            <w:r>
              <w:rPr>
                <w:rFonts w:hint="default" w:ascii="Times New Roman" w:hAnsi="Times New Roman" w:cs="Times New Roman"/>
                <w:b w:val="0"/>
                <w:bCs/>
                <w:color w:val="auto"/>
                <w:sz w:val="21"/>
                <w:szCs w:val="21"/>
                <w:highlight w:val="none"/>
                <w:lang w:val="en-US" w:eastAsia="zh-CN"/>
              </w:rPr>
              <w:t>响应供应商</w:t>
            </w:r>
            <w:r>
              <w:rPr>
                <w:rFonts w:hint="default" w:ascii="Times New Roman" w:hAnsi="Times New Roman" w:eastAsia="宋体" w:cs="Times New Roman"/>
                <w:b w:val="0"/>
                <w:bCs/>
                <w:color w:val="auto"/>
                <w:sz w:val="21"/>
                <w:szCs w:val="21"/>
                <w:highlight w:val="none"/>
              </w:rPr>
              <w:t>提供）的，具备光缆线路专业化日常维护及应急抢修队伍；故障时有替代产品、提供技术支持服务、定期回访的。</w:t>
            </w:r>
          </w:p>
          <w:p w14:paraId="4F334298">
            <w:pP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val="0"/>
                <w:bCs/>
                <w:color w:val="auto"/>
                <w:sz w:val="21"/>
                <w:szCs w:val="21"/>
                <w:highlight w:val="none"/>
              </w:rPr>
              <w:t>四档（2</w:t>
            </w:r>
            <w:r>
              <w:rPr>
                <w:rFonts w:hint="default" w:ascii="Times New Roman" w:hAnsi="Times New Roman"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rPr>
              <w:t>分）： 满足</w:t>
            </w:r>
            <w:r>
              <w:rPr>
                <w:rFonts w:hint="default" w:ascii="Times New Roman" w:hAnsi="Times New Roman" w:cs="Times New Roman"/>
                <w:b w:val="0"/>
                <w:bCs/>
                <w:color w:val="auto"/>
                <w:sz w:val="21"/>
                <w:szCs w:val="21"/>
                <w:highlight w:val="none"/>
                <w:lang w:val="en-US" w:eastAsia="zh-CN"/>
              </w:rPr>
              <w:t>响应</w:t>
            </w:r>
            <w:r>
              <w:rPr>
                <w:rFonts w:hint="default" w:ascii="Times New Roman" w:hAnsi="Times New Roman" w:eastAsia="宋体" w:cs="Times New Roman"/>
                <w:b w:val="0"/>
                <w:bCs/>
                <w:color w:val="auto"/>
                <w:sz w:val="21"/>
                <w:szCs w:val="21"/>
                <w:highlight w:val="none"/>
              </w:rPr>
              <w:t>文件售后服务所有要求和条件的，在系统维护、响应时间有完整方案，保证设备正常运行的，提供故障处理流程、维护保障流程及组织架构，南宁市内有本地服务机构，提供7×24小时服务电话的，有良好的免费培训计划、培训场地（</w:t>
            </w:r>
            <w:r>
              <w:rPr>
                <w:rFonts w:hint="default" w:ascii="Times New Roman" w:hAnsi="Times New Roman" w:cs="Times New Roman"/>
                <w:b w:val="0"/>
                <w:bCs/>
                <w:color w:val="auto"/>
                <w:sz w:val="21"/>
                <w:szCs w:val="21"/>
                <w:highlight w:val="none"/>
                <w:lang w:val="en-US" w:eastAsia="zh-CN"/>
              </w:rPr>
              <w:t>响应供应商</w:t>
            </w:r>
            <w:r>
              <w:rPr>
                <w:rFonts w:hint="default" w:ascii="Times New Roman" w:hAnsi="Times New Roman" w:eastAsia="宋体" w:cs="Times New Roman"/>
                <w:b w:val="0"/>
                <w:bCs/>
                <w:color w:val="auto"/>
                <w:sz w:val="21"/>
                <w:szCs w:val="21"/>
                <w:highlight w:val="none"/>
              </w:rPr>
              <w:t>提供）的，具备光缆线路专业化日常维护及应急抢修队伍；故障时有替代产品、提供技术支持服务、定期回访的，</w:t>
            </w:r>
            <w:r>
              <w:rPr>
                <w:rFonts w:hint="default" w:ascii="Times New Roman" w:hAnsi="Times New Roman" w:cs="Times New Roman"/>
                <w:b w:val="0"/>
                <w:bCs/>
                <w:color w:val="auto"/>
                <w:sz w:val="21"/>
                <w:szCs w:val="21"/>
                <w:highlight w:val="none"/>
                <w:lang w:val="en-US" w:eastAsia="zh-CN"/>
              </w:rPr>
              <w:t>响应供应商</w:t>
            </w:r>
            <w:r>
              <w:rPr>
                <w:rFonts w:hint="default" w:ascii="Times New Roman" w:hAnsi="Times New Roman" w:eastAsia="宋体" w:cs="Times New Roman"/>
                <w:b w:val="0"/>
                <w:bCs/>
                <w:color w:val="auto"/>
                <w:sz w:val="21"/>
                <w:szCs w:val="21"/>
                <w:highlight w:val="none"/>
              </w:rPr>
              <w:t>承诺针对本项目成立专有服务机构和提供服务人员，能快速响应系统维护需求。</w:t>
            </w:r>
          </w:p>
        </w:tc>
      </w:tr>
      <w:tr w14:paraId="1DF3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447" w:type="dxa"/>
            <w:tcBorders>
              <w:top w:val="single" w:color="auto" w:sz="4" w:space="0"/>
              <w:left w:val="single" w:color="auto" w:sz="4" w:space="0"/>
              <w:right w:val="single" w:color="auto" w:sz="4" w:space="0"/>
            </w:tcBorders>
            <w:noWrap/>
            <w:vAlign w:val="center"/>
          </w:tcPr>
          <w:p w14:paraId="0B737790">
            <w:pPr>
              <w:adjustRightInd w:val="0"/>
              <w:jc w:val="center"/>
              <w:textAlignment w:val="baseline"/>
              <w:rPr>
                <w:rFonts w:hint="default" w:ascii="Times New Roman" w:hAnsi="Times New Roman" w:eastAsia="宋体" w:cs="Times New Roman"/>
                <w:b/>
                <w:color w:val="auto"/>
                <w:sz w:val="21"/>
                <w:szCs w:val="21"/>
                <w:highlight w:val="none"/>
              </w:rPr>
            </w:pPr>
          </w:p>
        </w:tc>
        <w:tc>
          <w:tcPr>
            <w:tcW w:w="886" w:type="dxa"/>
            <w:tcBorders>
              <w:top w:val="single" w:color="auto" w:sz="4" w:space="0"/>
              <w:left w:val="single" w:color="auto" w:sz="4" w:space="0"/>
              <w:right w:val="single" w:color="auto" w:sz="4" w:space="0"/>
            </w:tcBorders>
            <w:noWrap/>
            <w:vAlign w:val="center"/>
          </w:tcPr>
          <w:p w14:paraId="47AAC233">
            <w:pPr>
              <w:adjustRightInd w:val="0"/>
              <w:jc w:val="center"/>
              <w:textAlignment w:val="baseline"/>
              <w:rPr>
                <w:rFonts w:hint="default" w:ascii="Times New Roman" w:hAnsi="Times New Roman"/>
                <w:b/>
                <w:color w:val="auto"/>
                <w:kern w:val="0"/>
                <w:highlight w:val="none"/>
              </w:rPr>
            </w:pPr>
          </w:p>
        </w:tc>
        <w:tc>
          <w:tcPr>
            <w:tcW w:w="969"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7C6BABF5">
            <w:pPr>
              <w:jc w:val="center"/>
              <w:rPr>
                <w:rFonts w:hint="default" w:ascii="Times New Roman" w:hAnsi="Times New Roman" w:eastAsia="宋体" w:cs="Times New Roman"/>
                <w:color w:val="auto"/>
                <w:sz w:val="21"/>
                <w:szCs w:val="21"/>
                <w:highlight w:val="none"/>
                <w:lang w:eastAsia="zh-CN"/>
              </w:rPr>
            </w:pPr>
            <w:r>
              <w:rPr>
                <w:rFonts w:hint="default" w:ascii="Times New Roman" w:cs="Times New Roman"/>
                <w:b w:val="0"/>
                <w:bCs w:val="0"/>
                <w:color w:val="auto"/>
                <w:kern w:val="0"/>
                <w:highlight w:val="none"/>
                <w:lang w:val="en-US" w:eastAsia="zh-CN"/>
              </w:rPr>
              <w:t>实施能力和</w:t>
            </w:r>
            <w:r>
              <w:rPr>
                <w:rFonts w:hint="default" w:ascii="Times New Roman" w:cs="Times New Roman"/>
                <w:b w:val="0"/>
                <w:bCs w:val="0"/>
                <w:color w:val="auto"/>
                <w:kern w:val="0"/>
                <w:highlight w:val="none"/>
              </w:rPr>
              <w:t>增值服务</w:t>
            </w:r>
            <w:r>
              <w:rPr>
                <w:rFonts w:hint="default" w:ascii="Times New Roman" w:cs="Times New Roman"/>
                <w:b w:val="0"/>
                <w:bCs w:val="0"/>
                <w:color w:val="auto"/>
                <w:kern w:val="0"/>
                <w:highlight w:val="none"/>
                <w:lang w:eastAsia="zh-CN"/>
              </w:rPr>
              <w:t>（</w:t>
            </w:r>
            <w:r>
              <w:rPr>
                <w:rFonts w:hint="default" w:ascii="Times New Roman" w:cs="Times New Roman"/>
                <w:b w:val="0"/>
                <w:bCs w:val="0"/>
                <w:color w:val="auto"/>
                <w:kern w:val="0"/>
                <w:highlight w:val="none"/>
                <w:lang w:val="en-US" w:eastAsia="zh-CN"/>
              </w:rPr>
              <w:t>20分</w:t>
            </w:r>
            <w:r>
              <w:rPr>
                <w:rFonts w:hint="default" w:ascii="Times New Roman" w:cs="Times New Roman"/>
                <w:b w:val="0"/>
                <w:bCs w:val="0"/>
                <w:color w:val="auto"/>
                <w:kern w:val="0"/>
                <w:highlight w:val="none"/>
                <w:lang w:eastAsia="zh-CN"/>
              </w:rPr>
              <w:t>）</w:t>
            </w:r>
          </w:p>
        </w:tc>
        <w:tc>
          <w:tcPr>
            <w:tcW w:w="6878" w:type="dxa"/>
            <w:tcBorders>
              <w:top w:val="single" w:color="auto" w:sz="4" w:space="0"/>
              <w:left w:val="single" w:color="auto" w:sz="4" w:space="0"/>
              <w:right w:val="single" w:color="auto" w:sz="4" w:space="0"/>
            </w:tcBorders>
            <w:noWrap/>
          </w:tcPr>
          <w:p w14:paraId="3E007B01">
            <w:pP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r>
              <w:rPr>
                <w:rFonts w:hint="default" w:ascii="Times New Roman" w:hAnsi="Times New Roman" w:cs="Times New Roman"/>
                <w:b w:val="0"/>
                <w:bCs/>
                <w:color w:val="auto"/>
                <w:sz w:val="21"/>
                <w:szCs w:val="21"/>
                <w:highlight w:val="none"/>
                <w:lang w:val="en-US" w:eastAsia="zh-CN"/>
              </w:rPr>
              <w:t>发布成交结果</w:t>
            </w:r>
            <w:r>
              <w:rPr>
                <w:rFonts w:hint="default" w:ascii="Times New Roman" w:hAnsi="Times New Roman" w:eastAsia="宋体" w:cs="Times New Roman"/>
                <w:b w:val="0"/>
                <w:bCs/>
                <w:color w:val="auto"/>
                <w:sz w:val="21"/>
                <w:szCs w:val="21"/>
                <w:highlight w:val="none"/>
                <w:lang w:val="en-US" w:eastAsia="zh-CN"/>
              </w:rPr>
              <w:t>后1</w:t>
            </w:r>
            <w:r>
              <w:rPr>
                <w:rFonts w:hint="default" w:ascii="Times New Roman" w:hAnsi="Times New Roman" w:cs="Times New Roman"/>
                <w:b w:val="0"/>
                <w:bCs/>
                <w:color w:val="auto"/>
                <w:sz w:val="21"/>
                <w:szCs w:val="21"/>
                <w:highlight w:val="none"/>
                <w:lang w:val="en-US" w:eastAsia="zh-CN"/>
              </w:rPr>
              <w:t>0</w:t>
            </w:r>
            <w:r>
              <w:rPr>
                <w:rFonts w:hint="default" w:ascii="Times New Roman" w:hAnsi="Times New Roman" w:eastAsia="宋体" w:cs="Times New Roman"/>
                <w:b w:val="0"/>
                <w:bCs/>
                <w:color w:val="auto"/>
                <w:sz w:val="21"/>
                <w:szCs w:val="21"/>
                <w:highlight w:val="none"/>
                <w:lang w:val="en-US" w:eastAsia="zh-CN"/>
              </w:rPr>
              <w:t>个工作日完成的得分5分，每提前一天完成加0.5分，最高得分8分</w:t>
            </w:r>
            <w:r>
              <w:rPr>
                <w:rFonts w:hint="default" w:ascii="Times New Roman" w:hAnsi="Times New Roman" w:cs="Times New Roman"/>
                <w:b w:val="0"/>
                <w:bCs/>
                <w:color w:val="auto"/>
                <w:sz w:val="21"/>
                <w:szCs w:val="21"/>
                <w:highlight w:val="none"/>
                <w:lang w:val="en-US" w:eastAsia="zh-CN"/>
              </w:rPr>
              <w:t>。</w:t>
            </w:r>
          </w:p>
          <w:p w14:paraId="4572DC98">
            <w:pPr>
              <w:rPr>
                <w:rFonts w:hint="default" w:ascii="Times New Roman" w:hAnsi="Times New Roman"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rPr>
              <w:t>（2）供应商自2020年以来同类项目的业绩（包括裸纤租赁服务），以成交/中标通知书或合同复印件为准，每份得</w:t>
            </w:r>
            <w:r>
              <w:rPr>
                <w:rFonts w:hint="default" w:ascii="Times New Roman" w:hAnsi="Times New Roman"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rPr>
              <w:t>分，</w:t>
            </w:r>
            <w:r>
              <w:rPr>
                <w:rFonts w:hint="default" w:ascii="Times New Roman" w:hAnsi="Times New Roman" w:eastAsia="宋体" w:cs="Times New Roman"/>
                <w:b w:val="0"/>
                <w:bCs/>
                <w:color w:val="auto"/>
                <w:sz w:val="21"/>
                <w:szCs w:val="21"/>
                <w:highlight w:val="none"/>
                <w:lang w:val="en-US" w:eastAsia="zh-CN"/>
              </w:rPr>
              <w:t>最高得</w:t>
            </w:r>
            <w:r>
              <w:rPr>
                <w:rFonts w:hint="default" w:ascii="Times New Roman" w:hAnsi="Times New Roman" w:eastAsia="宋体" w:cs="Times New Roman"/>
                <w:b w:val="0"/>
                <w:bCs/>
                <w:color w:val="auto"/>
                <w:sz w:val="21"/>
                <w:szCs w:val="21"/>
                <w:highlight w:val="none"/>
              </w:rPr>
              <w:t>分</w:t>
            </w:r>
            <w:r>
              <w:rPr>
                <w:rFonts w:hint="default" w:ascii="Times New Roman" w:hAnsi="Times New Roman" w:eastAsia="宋体" w:cs="Times New Roman"/>
                <w:b w:val="0"/>
                <w:bCs/>
                <w:color w:val="auto"/>
                <w:sz w:val="21"/>
                <w:szCs w:val="21"/>
                <w:highlight w:val="none"/>
                <w:lang w:val="en-US" w:eastAsia="zh-CN"/>
              </w:rPr>
              <w:t>2</w:t>
            </w:r>
            <w:r>
              <w:rPr>
                <w:rFonts w:hint="default" w:ascii="Times New Roman" w:hAnsi="Times New Roman" w:eastAsia="宋体" w:cs="Times New Roman"/>
                <w:b w:val="0"/>
                <w:bCs/>
                <w:color w:val="auto"/>
                <w:sz w:val="21"/>
                <w:szCs w:val="21"/>
                <w:highlight w:val="none"/>
              </w:rPr>
              <w:t>分</w:t>
            </w:r>
            <w:r>
              <w:rPr>
                <w:rFonts w:hint="default" w:ascii="Times New Roman" w:hAnsi="Times New Roman" w:cs="Times New Roman"/>
                <w:b w:val="0"/>
                <w:bCs/>
                <w:color w:val="auto"/>
                <w:sz w:val="21"/>
                <w:szCs w:val="21"/>
                <w:highlight w:val="none"/>
                <w:lang w:eastAsia="zh-CN"/>
              </w:rPr>
              <w:t>（</w:t>
            </w:r>
            <w:r>
              <w:rPr>
                <w:rFonts w:hint="default" w:ascii="Times New Roman" w:hAnsi="Times New Roman" w:cs="Times New Roman"/>
                <w:bCs/>
                <w:color w:val="auto"/>
                <w:highlight w:val="none"/>
              </w:rPr>
              <w:t>响应文件中提供有效的</w:t>
            </w:r>
            <w:r>
              <w:rPr>
                <w:rFonts w:hint="default" w:ascii="Times New Roman" w:hAnsi="Times New Roman" w:cs="Times New Roman"/>
                <w:bCs/>
                <w:color w:val="auto"/>
                <w:highlight w:val="none"/>
                <w:lang w:val="en-US" w:eastAsia="zh-CN"/>
              </w:rPr>
              <w:t>成交/</w:t>
            </w:r>
            <w:r>
              <w:rPr>
                <w:rFonts w:hint="default" w:ascii="Times New Roman" w:hAnsi="Times New Roman" w:cs="Times New Roman"/>
                <w:bCs/>
                <w:color w:val="auto"/>
                <w:highlight w:val="none"/>
              </w:rPr>
              <w:t>中标通知书或合同复印件（或扫描件）并加盖供应商</w:t>
            </w:r>
            <w:r>
              <w:rPr>
                <w:rFonts w:hint="default" w:ascii="Times New Roman" w:hAnsi="Times New Roman" w:cs="Times New Roman"/>
                <w:bCs/>
                <w:color w:val="auto"/>
                <w:highlight w:val="none"/>
                <w:lang w:val="en-US" w:eastAsia="zh-CN"/>
              </w:rPr>
              <w:t>公章</w:t>
            </w:r>
            <w:r>
              <w:rPr>
                <w:rFonts w:hint="default" w:ascii="Times New Roman" w:hAnsi="Times New Roman" w:cs="Times New Roman"/>
                <w:bCs/>
                <w:color w:val="auto"/>
                <w:highlight w:val="none"/>
              </w:rPr>
              <w:t>，否则不予以计分</w:t>
            </w:r>
            <w:r>
              <w:rPr>
                <w:rFonts w:hint="default" w:ascii="Times New Roman" w:hAnsi="Times New Roman" w:cs="Times New Roman"/>
                <w:b w:val="0"/>
                <w:bCs/>
                <w:color w:val="auto"/>
                <w:sz w:val="21"/>
                <w:szCs w:val="21"/>
                <w:highlight w:val="none"/>
                <w:lang w:eastAsia="zh-CN"/>
              </w:rPr>
              <w:t>）。</w:t>
            </w:r>
          </w:p>
          <w:p w14:paraId="6971D3B6">
            <w:pP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3</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提供1</w:t>
            </w:r>
            <w:r>
              <w:rPr>
                <w:rFonts w:hint="default" w:ascii="Times New Roman" w:hAnsi="Times New Roman" w:eastAsia="宋体" w:cs="Times New Roman"/>
                <w:b w:val="0"/>
                <w:bCs/>
                <w:color w:val="auto"/>
                <w:sz w:val="21"/>
                <w:szCs w:val="21"/>
                <w:highlight w:val="none"/>
              </w:rPr>
              <w:t>条</w:t>
            </w:r>
            <w:r>
              <w:rPr>
                <w:rFonts w:hint="default" w:ascii="Times New Roman" w:hAnsi="Times New Roman" w:eastAsia="宋体" w:cs="Times New Roman"/>
                <w:b w:val="0"/>
                <w:bCs/>
                <w:color w:val="auto"/>
                <w:sz w:val="21"/>
                <w:szCs w:val="21"/>
                <w:highlight w:val="none"/>
                <w:lang w:val="en-US" w:eastAsia="zh-CN"/>
              </w:rPr>
              <w:t>2芯</w:t>
            </w:r>
            <w:r>
              <w:rPr>
                <w:rFonts w:hint="default" w:ascii="Times New Roman" w:hAnsi="Times New Roman" w:eastAsia="宋体" w:cs="Times New Roman"/>
                <w:b w:val="0"/>
                <w:bCs/>
                <w:color w:val="auto"/>
                <w:sz w:val="21"/>
                <w:szCs w:val="21"/>
                <w:highlight w:val="none"/>
              </w:rPr>
              <w:t>裸光纤专用线路服务</w:t>
            </w:r>
            <w:r>
              <w:rPr>
                <w:rFonts w:hint="default" w:ascii="Times New Roman" w:hAnsi="Times New Roman" w:eastAsia="宋体" w:cs="Times New Roman"/>
                <w:b w:val="0"/>
                <w:bCs/>
                <w:color w:val="auto"/>
                <w:sz w:val="21"/>
                <w:szCs w:val="21"/>
                <w:highlight w:val="none"/>
                <w:lang w:val="en-US" w:eastAsia="zh-CN"/>
              </w:rPr>
              <w:t>的得4分，每增加2芯得2分，最高得分10分</w:t>
            </w:r>
            <w:r>
              <w:rPr>
                <w:rFonts w:hint="default" w:ascii="Times New Roman" w:hAnsi="Times New Roman" w:cs="Times New Roman"/>
                <w:b w:val="0"/>
                <w:bCs/>
                <w:color w:val="auto"/>
                <w:sz w:val="21"/>
                <w:szCs w:val="21"/>
                <w:highlight w:val="none"/>
                <w:lang w:val="en-US" w:eastAsia="zh-CN"/>
              </w:rPr>
              <w:t>。</w:t>
            </w:r>
          </w:p>
        </w:tc>
      </w:tr>
      <w:tr w14:paraId="670A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369F2737">
            <w:pPr>
              <w:widowControl/>
              <w:jc w:val="left"/>
              <w:rPr>
                <w:rFonts w:hint="default" w:ascii="Times New Roman" w:hAnsi="Times New Roman" w:eastAsia="宋体" w:cs="Times New Roman"/>
                <w:b/>
                <w:color w:val="auto"/>
                <w:sz w:val="21"/>
                <w:szCs w:val="21"/>
                <w:highlight w:val="none"/>
                <w:lang w:val="en-US" w:eastAsia="zh-CN"/>
              </w:rPr>
            </w:pPr>
          </w:p>
        </w:tc>
      </w:tr>
    </w:tbl>
    <w:p w14:paraId="0717362E">
      <w:pPr>
        <w:spacing w:line="340" w:lineRule="exact"/>
        <w:ind w:firstLine="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bCs/>
          <w:color w:val="auto"/>
          <w:sz w:val="21"/>
          <w:szCs w:val="21"/>
          <w:highlight w:val="none"/>
        </w:rPr>
        <w:t>由评审小组根据综合评分情况，按照评审得分由高到低顺序推荐3名以上成交候选供应商</w:t>
      </w:r>
      <w:r>
        <w:rPr>
          <w:rFonts w:hint="eastAsia" w:ascii="宋体" w:hAnsi="宋体" w:eastAsia="宋体" w:cs="宋体"/>
          <w:bCs/>
          <w:color w:val="auto"/>
          <w:sz w:val="21"/>
          <w:szCs w:val="21"/>
          <w:highlight w:val="none"/>
          <w:lang w:eastAsia="zh-CN"/>
        </w:rPr>
        <w:t>。</w:t>
      </w:r>
    </w:p>
    <w:p w14:paraId="2B93D168">
      <w:pPr>
        <w:pStyle w:val="13"/>
        <w:ind w:left="0" w:leftChars="0" w:firstLine="0" w:firstLineChars="0"/>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B0059"/>
    <w:multiLevelType w:val="singleLevel"/>
    <w:tmpl w:val="178B00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000000"/>
    <w:rsid w:val="061F6DCA"/>
    <w:rsid w:val="083522DB"/>
    <w:rsid w:val="0B8374A1"/>
    <w:rsid w:val="0F6C5FE1"/>
    <w:rsid w:val="11AB188E"/>
    <w:rsid w:val="16AD495D"/>
    <w:rsid w:val="1A79573A"/>
    <w:rsid w:val="21096C16"/>
    <w:rsid w:val="250045EC"/>
    <w:rsid w:val="3C8659E5"/>
    <w:rsid w:val="411D5120"/>
    <w:rsid w:val="477535AD"/>
    <w:rsid w:val="47D772EC"/>
    <w:rsid w:val="4B603E36"/>
    <w:rsid w:val="4BBB4AD9"/>
    <w:rsid w:val="4EA73DE0"/>
    <w:rsid w:val="50344A39"/>
    <w:rsid w:val="525033E7"/>
    <w:rsid w:val="54637DFF"/>
    <w:rsid w:val="596509C8"/>
    <w:rsid w:val="5C926829"/>
    <w:rsid w:val="5CA3554E"/>
    <w:rsid w:val="5D406904"/>
    <w:rsid w:val="5FA32B54"/>
    <w:rsid w:val="6C9B0307"/>
    <w:rsid w:val="6CFB78A5"/>
    <w:rsid w:val="74335BB1"/>
    <w:rsid w:val="752B5B9A"/>
    <w:rsid w:val="79C350D5"/>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sz w:val="28"/>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szCs w:val="22"/>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Title"/>
    <w:basedOn w:val="1"/>
    <w:next w:val="1"/>
    <w:qFormat/>
    <w:uiPriority w:val="0"/>
    <w:pPr>
      <w:spacing w:before="240" w:after="60"/>
      <w:jc w:val="center"/>
      <w:outlineLvl w:val="0"/>
    </w:pPr>
    <w:rPr>
      <w:rFonts w:ascii="Arial" w:hAnsi="Arial" w:cs="Arial"/>
      <w:b/>
      <w:bCs/>
      <w:sz w:val="32"/>
      <w:szCs w:val="32"/>
    </w:rPr>
  </w:style>
  <w:style w:type="paragraph" w:styleId="7">
    <w:name w:val="Plain Text"/>
    <w:basedOn w:val="1"/>
    <w:next w:val="3"/>
    <w:qFormat/>
    <w:uiPriority w:val="0"/>
    <w:rPr>
      <w:rFonts w:ascii="宋体" w:hAnsi="Courier New"/>
      <w:szCs w:val="20"/>
    </w:rPr>
  </w:style>
  <w:style w:type="paragraph" w:styleId="8">
    <w:name w:val="table of figures"/>
    <w:basedOn w:val="1"/>
    <w:next w:val="1"/>
    <w:qFormat/>
    <w:uiPriority w:val="0"/>
    <w:pPr>
      <w:ind w:left="200" w:leftChars="200" w:hanging="200" w:hangingChars="200"/>
    </w:pPr>
    <w:rPr>
      <w:rFonts w:hAnsi="Courier New" w:cs="Times New Roman"/>
      <w:szCs w:val="20"/>
      <w:lang w:eastAsia="en-US" w:bidi="en-US"/>
    </w:rPr>
  </w:style>
  <w:style w:type="paragraph" w:styleId="9">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styleId="12">
    <w:name w:val="annotation reference"/>
    <w:semiHidden/>
    <w:qFormat/>
    <w:uiPriority w:val="0"/>
    <w:rPr>
      <w:rFonts w:cs="Times New Roman"/>
      <w:sz w:val="21"/>
      <w:szCs w:val="21"/>
    </w:rPr>
  </w:style>
  <w:style w:type="paragraph" w:customStyle="1" w:styleId="13">
    <w:name w:val="样式 0正文 + 首行缩进:  2 字符1"/>
    <w:basedOn w:val="1"/>
    <w:qFormat/>
    <w:uiPriority w:val="99"/>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4638</Words>
  <Characters>4970</Characters>
  <Lines>0</Lines>
  <Paragraphs>0</Paragraphs>
  <TotalTime>17</TotalTime>
  <ScaleCrop>false</ScaleCrop>
  <LinksUpToDate>false</LinksUpToDate>
  <CharactersWithSpaces>5015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2024-09-24T01:36:00Z</dcterms:created>
  <dc:creator>admin</dc:creator>
  <cp:lastModifiedBy>秋秋</cp:lastModifiedBy>
  <dcterms:modified xsi:type="dcterms:W3CDTF">2024-11-11T10:38:40Z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4B1CA18DCD1D46CEBE329FF290A22A4D_13</vt:lpwstr>
  </property>
</Properties>
</file>